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57" w:type="dxa"/>
          <w:bottom w:w="57" w:type="dxa"/>
          <w:right w:w="57" w:type="dxa"/>
        </w:tblCellMar>
        <w:tblLook w:val="04A0" w:firstRow="1" w:lastRow="0" w:firstColumn="1" w:lastColumn="0" w:noHBand="0" w:noVBand="1"/>
      </w:tblPr>
      <w:tblGrid>
        <w:gridCol w:w="2071"/>
        <w:gridCol w:w="1423"/>
        <w:gridCol w:w="1292"/>
        <w:gridCol w:w="3494"/>
      </w:tblGrid>
      <w:tr w:rsidR="00F9568F" w:rsidRPr="00F9568F" w14:paraId="4DAD781E" w14:textId="77777777" w:rsidTr="00F9568F">
        <w:trPr>
          <w:trHeight w:val="1786"/>
        </w:trPr>
        <w:tc>
          <w:tcPr>
            <w:tcW w:w="5000" w:type="pct"/>
            <w:gridSpan w:val="4"/>
          </w:tcPr>
          <w:p w14:paraId="4EE88B74" w14:textId="77777777" w:rsidR="00F9568F" w:rsidRPr="00F9568F" w:rsidRDefault="00F9568F" w:rsidP="00F9568F">
            <w:pPr>
              <w:jc w:val="center"/>
              <w:rPr>
                <w:b/>
                <w:lang w:val="fr-CA"/>
              </w:rPr>
            </w:pPr>
            <w:r w:rsidRPr="00F9568F">
              <w:rPr>
                <w:b/>
                <w:noProof/>
                <w:lang w:val="fr-CA"/>
              </w:rPr>
              <w:drawing>
                <wp:inline distT="0" distB="0" distL="0" distR="0" wp14:anchorId="6AD92175" wp14:editId="26E574C6">
                  <wp:extent cx="1193088" cy="1634400"/>
                  <wp:effectExtent l="0" t="0" r="7620" b="4445"/>
                  <wp:docPr id="3312355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235505" name="Picture 331235505"/>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93088" cy="1634400"/>
                          </a:xfrm>
                          <a:prstGeom prst="rect">
                            <a:avLst/>
                          </a:prstGeom>
                        </pic:spPr>
                      </pic:pic>
                    </a:graphicData>
                  </a:graphic>
                </wp:inline>
              </w:drawing>
            </w:r>
          </w:p>
          <w:p w14:paraId="4A3AD295" w14:textId="77777777" w:rsidR="00F9568F" w:rsidRPr="00F9568F" w:rsidRDefault="00F9568F" w:rsidP="00F9568F">
            <w:pPr>
              <w:spacing w:before="120" w:after="100" w:afterAutospacing="1"/>
              <w:jc w:val="center"/>
              <w:rPr>
                <w:lang w:val="fr-CA"/>
              </w:rPr>
            </w:pPr>
            <w:r w:rsidRPr="00F9568F">
              <w:rPr>
                <w:b/>
                <w:lang w:val="fr-CA"/>
              </w:rPr>
              <w:t>COUR SUPRÊME DU CANADA</w:t>
            </w:r>
          </w:p>
        </w:tc>
      </w:tr>
      <w:tr w:rsidR="00F9568F" w:rsidRPr="00F9568F" w14:paraId="134E42FE" w14:textId="77777777" w:rsidTr="00F9568F">
        <w:tblPrEx>
          <w:tblCellMar>
            <w:top w:w="58" w:type="dxa"/>
            <w:left w:w="58" w:type="dxa"/>
            <w:bottom w:w="58" w:type="dxa"/>
            <w:right w:w="58" w:type="dxa"/>
          </w:tblCellMar>
        </w:tblPrEx>
        <w:tc>
          <w:tcPr>
            <w:tcW w:w="2110" w:type="pct"/>
            <w:gridSpan w:val="2"/>
          </w:tcPr>
          <w:p w14:paraId="12E5F683" w14:textId="77777777" w:rsidR="00F9568F" w:rsidRPr="00F9568F" w:rsidRDefault="00F9568F" w:rsidP="00F9568F">
            <w:pPr>
              <w:rPr>
                <w:b/>
                <w:smallCaps/>
                <w:lang w:val="fr-CA"/>
              </w:rPr>
            </w:pPr>
          </w:p>
          <w:p w14:paraId="1B2EAA60" w14:textId="77777777" w:rsidR="00F9568F" w:rsidRPr="00F9568F" w:rsidRDefault="00F9568F" w:rsidP="00F9568F">
            <w:pPr>
              <w:rPr>
                <w:b/>
                <w:smallCaps/>
                <w:lang w:val="fr-CA"/>
              </w:rPr>
            </w:pPr>
            <w:r w:rsidRPr="00F9568F">
              <w:rPr>
                <w:b/>
                <w:smallCaps/>
                <w:lang w:val="fr-CA"/>
              </w:rPr>
              <w:t>Référence :</w:t>
            </w:r>
            <w:r w:rsidRPr="00F9568F">
              <w:rPr>
                <w:lang w:val="fr-CA"/>
              </w:rPr>
              <w:t xml:space="preserve"> Québec (Procureur général) </w:t>
            </w:r>
            <w:r w:rsidRPr="00F9568F">
              <w:rPr>
                <w:i/>
                <w:lang w:val="fr-CA"/>
              </w:rPr>
              <w:t>c.</w:t>
            </w:r>
            <w:r w:rsidRPr="00F9568F">
              <w:rPr>
                <w:lang w:val="fr-CA"/>
              </w:rPr>
              <w:t xml:space="preserve"> SGS Canada </w:t>
            </w:r>
            <w:proofErr w:type="spellStart"/>
            <w:r w:rsidRPr="00F9568F">
              <w:rPr>
                <w:lang w:val="fr-CA"/>
              </w:rPr>
              <w:t>inc.</w:t>
            </w:r>
            <w:proofErr w:type="spellEnd"/>
            <w:r w:rsidRPr="00F9568F">
              <w:rPr>
                <w:lang w:val="fr-CA"/>
              </w:rPr>
              <w:t>, 2026 CSC 37</w:t>
            </w:r>
          </w:p>
        </w:tc>
        <w:tc>
          <w:tcPr>
            <w:tcW w:w="780" w:type="pct"/>
          </w:tcPr>
          <w:p w14:paraId="684AF3D9" w14:textId="77777777" w:rsidR="00F9568F" w:rsidRPr="00F9568F" w:rsidRDefault="00F9568F" w:rsidP="00F9568F">
            <w:pPr>
              <w:rPr>
                <w:lang w:val="fr-CA"/>
              </w:rPr>
            </w:pPr>
          </w:p>
        </w:tc>
        <w:tc>
          <w:tcPr>
            <w:tcW w:w="2109" w:type="pct"/>
          </w:tcPr>
          <w:p w14:paraId="1E79B6E8" w14:textId="77777777" w:rsidR="00F9568F" w:rsidRPr="00F9568F" w:rsidRDefault="00F9568F" w:rsidP="00F9568F">
            <w:pPr>
              <w:jc w:val="both"/>
              <w:rPr>
                <w:b/>
                <w:smallCaps/>
                <w:lang w:val="fr-CA"/>
              </w:rPr>
            </w:pPr>
          </w:p>
          <w:p w14:paraId="3E6AAB69" w14:textId="77777777" w:rsidR="00F9568F" w:rsidRPr="00F9568F" w:rsidRDefault="00F9568F" w:rsidP="00F9568F">
            <w:pPr>
              <w:jc w:val="both"/>
              <w:rPr>
                <w:lang w:val="fr-CA"/>
              </w:rPr>
            </w:pPr>
            <w:r w:rsidRPr="00F9568F">
              <w:rPr>
                <w:b/>
                <w:smallCaps/>
                <w:lang w:val="fr-CA"/>
              </w:rPr>
              <w:t>Appel entendu :</w:t>
            </w:r>
            <w:r w:rsidRPr="00F9568F">
              <w:rPr>
                <w:lang w:val="fr-CA"/>
              </w:rPr>
              <w:t xml:space="preserve"> 2 décembre 2025</w:t>
            </w:r>
          </w:p>
          <w:p w14:paraId="1D3EBFC7" w14:textId="77777777" w:rsidR="00F9568F" w:rsidRPr="00F9568F" w:rsidRDefault="00F9568F" w:rsidP="00F9568F">
            <w:pPr>
              <w:rPr>
                <w:lang w:val="fr-CA"/>
              </w:rPr>
            </w:pPr>
            <w:r w:rsidRPr="00F9568F">
              <w:rPr>
                <w:b/>
                <w:smallCaps/>
                <w:lang w:val="fr-CA"/>
              </w:rPr>
              <w:t>Jugement rendu :</w:t>
            </w:r>
            <w:r w:rsidRPr="00F9568F">
              <w:rPr>
                <w:lang w:val="fr-CA"/>
              </w:rPr>
              <w:t xml:space="preserve"> 6 novembre 2026</w:t>
            </w:r>
          </w:p>
          <w:p w14:paraId="0B4FE699" w14:textId="77777777" w:rsidR="00F9568F" w:rsidRPr="00F9568F" w:rsidRDefault="00F9568F" w:rsidP="00F9568F">
            <w:pPr>
              <w:rPr>
                <w:lang w:val="fr-CA"/>
              </w:rPr>
            </w:pPr>
            <w:r w:rsidRPr="00F9568F">
              <w:rPr>
                <w:b/>
                <w:smallCaps/>
                <w:lang w:val="fr-CA"/>
              </w:rPr>
              <w:t>Dossier :</w:t>
            </w:r>
            <w:r w:rsidRPr="00F9568F">
              <w:rPr>
                <w:lang w:val="fr-CA"/>
              </w:rPr>
              <w:t xml:space="preserve"> 41334</w:t>
            </w:r>
          </w:p>
        </w:tc>
      </w:tr>
      <w:tr w:rsidR="00F9568F" w:rsidRPr="00764BA1" w14:paraId="3965BAAE" w14:textId="77777777" w:rsidTr="00F9568F">
        <w:tblPrEx>
          <w:tblCellMar>
            <w:top w:w="58" w:type="dxa"/>
            <w:left w:w="58" w:type="dxa"/>
            <w:bottom w:w="58" w:type="dxa"/>
            <w:right w:w="58" w:type="dxa"/>
          </w:tblCellMar>
        </w:tblPrEx>
        <w:tc>
          <w:tcPr>
            <w:tcW w:w="5000" w:type="pct"/>
            <w:gridSpan w:val="4"/>
          </w:tcPr>
          <w:p w14:paraId="3C6CC1B9" w14:textId="77777777" w:rsidR="00F9568F" w:rsidRPr="00F9568F" w:rsidRDefault="00F9568F" w:rsidP="00F9568F">
            <w:pPr>
              <w:rPr>
                <w:lang w:val="fr-CA"/>
              </w:rPr>
            </w:pPr>
          </w:p>
          <w:p w14:paraId="33509992" w14:textId="77777777" w:rsidR="00F9568F" w:rsidRPr="00F9568F" w:rsidRDefault="00F9568F" w:rsidP="00F9568F">
            <w:pPr>
              <w:rPr>
                <w:b/>
                <w:smallCaps/>
                <w:lang w:val="fr-CA"/>
              </w:rPr>
            </w:pPr>
            <w:r w:rsidRPr="00F9568F">
              <w:rPr>
                <w:b/>
                <w:smallCaps/>
                <w:lang w:val="fr-CA"/>
              </w:rPr>
              <w:t>Entre :</w:t>
            </w:r>
          </w:p>
          <w:p w14:paraId="362034D4" w14:textId="77777777" w:rsidR="00F9568F" w:rsidRPr="00F9568F" w:rsidRDefault="00F9568F" w:rsidP="00F9568F">
            <w:pPr>
              <w:rPr>
                <w:lang w:val="fr-CA"/>
              </w:rPr>
            </w:pPr>
          </w:p>
          <w:p w14:paraId="0C978B1A" w14:textId="77777777" w:rsidR="00F9568F" w:rsidRPr="00F9568F" w:rsidRDefault="00F9568F" w:rsidP="00F9568F">
            <w:pPr>
              <w:jc w:val="center"/>
              <w:rPr>
                <w:b/>
                <w:lang w:val="fr-CA"/>
              </w:rPr>
            </w:pPr>
            <w:r w:rsidRPr="00F9568F">
              <w:rPr>
                <w:b/>
                <w:lang w:val="fr-CA"/>
              </w:rPr>
              <w:t>Procureur général du Québec</w:t>
            </w:r>
          </w:p>
          <w:p w14:paraId="2CC00F02" w14:textId="77777777" w:rsidR="00F9568F" w:rsidRPr="00F9568F" w:rsidRDefault="00F9568F" w:rsidP="00F9568F">
            <w:pPr>
              <w:jc w:val="center"/>
              <w:rPr>
                <w:lang w:val="fr-CA"/>
              </w:rPr>
            </w:pPr>
            <w:r w:rsidRPr="00F9568F">
              <w:rPr>
                <w:lang w:val="fr-CA"/>
              </w:rPr>
              <w:t>Appelant</w:t>
            </w:r>
          </w:p>
          <w:p w14:paraId="5F0C79CB" w14:textId="77777777" w:rsidR="00F9568F" w:rsidRPr="00F9568F" w:rsidRDefault="00F9568F" w:rsidP="00F9568F">
            <w:pPr>
              <w:rPr>
                <w:lang w:val="fr-CA"/>
              </w:rPr>
            </w:pPr>
          </w:p>
          <w:p w14:paraId="7CA9582E" w14:textId="77777777" w:rsidR="00F9568F" w:rsidRPr="00F9568F" w:rsidRDefault="00F9568F" w:rsidP="00F9568F">
            <w:pPr>
              <w:jc w:val="center"/>
              <w:rPr>
                <w:lang w:val="fr-CA"/>
              </w:rPr>
            </w:pPr>
            <w:r w:rsidRPr="00F9568F">
              <w:rPr>
                <w:lang w:val="fr-CA"/>
              </w:rPr>
              <w:t>et</w:t>
            </w:r>
          </w:p>
          <w:p w14:paraId="07A8CB16" w14:textId="77777777" w:rsidR="00F9568F" w:rsidRPr="00F9568F" w:rsidRDefault="00F9568F" w:rsidP="00F9568F">
            <w:pPr>
              <w:rPr>
                <w:lang w:val="fr-CA"/>
              </w:rPr>
            </w:pPr>
          </w:p>
          <w:p w14:paraId="7183AD88" w14:textId="77777777" w:rsidR="00F9568F" w:rsidRPr="00F9568F" w:rsidRDefault="00F9568F" w:rsidP="00F9568F">
            <w:pPr>
              <w:jc w:val="center"/>
              <w:rPr>
                <w:b/>
                <w:lang w:val="fr-FR"/>
              </w:rPr>
            </w:pPr>
            <w:r w:rsidRPr="00F9568F">
              <w:rPr>
                <w:b/>
                <w:lang w:val="fr-FR"/>
              </w:rPr>
              <w:t xml:space="preserve">SGS Canada </w:t>
            </w:r>
            <w:proofErr w:type="spellStart"/>
            <w:r w:rsidRPr="00F9568F">
              <w:rPr>
                <w:b/>
                <w:lang w:val="fr-FR"/>
              </w:rPr>
              <w:t>inc.</w:t>
            </w:r>
            <w:proofErr w:type="spellEnd"/>
          </w:p>
          <w:p w14:paraId="63A5307E" w14:textId="77777777" w:rsidR="00F9568F" w:rsidRPr="00F9568F" w:rsidRDefault="00F9568F" w:rsidP="00F9568F">
            <w:pPr>
              <w:jc w:val="center"/>
              <w:rPr>
                <w:lang w:val="fr-FR"/>
              </w:rPr>
            </w:pPr>
            <w:r w:rsidRPr="00F9568F">
              <w:rPr>
                <w:lang w:val="fr-FR"/>
              </w:rPr>
              <w:t>Intimée</w:t>
            </w:r>
          </w:p>
          <w:p w14:paraId="534235CD" w14:textId="77777777" w:rsidR="00F9568F" w:rsidRPr="00F9568F" w:rsidRDefault="00F9568F" w:rsidP="00F9568F">
            <w:pPr>
              <w:rPr>
                <w:lang w:val="fr-FR"/>
              </w:rPr>
            </w:pPr>
          </w:p>
          <w:p w14:paraId="2E16E61F" w14:textId="77777777" w:rsidR="00F9568F" w:rsidRPr="00F9568F" w:rsidRDefault="00F9568F" w:rsidP="00F9568F">
            <w:pPr>
              <w:jc w:val="center"/>
              <w:rPr>
                <w:lang w:val="fr-CA"/>
              </w:rPr>
            </w:pPr>
            <w:r w:rsidRPr="00F9568F">
              <w:rPr>
                <w:lang w:val="fr-CA"/>
              </w:rPr>
              <w:t>- et -</w:t>
            </w:r>
          </w:p>
          <w:p w14:paraId="3F86F546" w14:textId="77777777" w:rsidR="00F9568F" w:rsidRPr="00F9568F" w:rsidRDefault="00F9568F" w:rsidP="00F9568F">
            <w:pPr>
              <w:rPr>
                <w:lang w:val="fr-CA"/>
              </w:rPr>
            </w:pPr>
          </w:p>
          <w:p w14:paraId="377C593E" w14:textId="77777777" w:rsidR="00F9568F" w:rsidRPr="00F9568F" w:rsidRDefault="00F9568F" w:rsidP="00F9568F">
            <w:pPr>
              <w:jc w:val="center"/>
              <w:rPr>
                <w:b/>
                <w:lang w:val="fr-CA"/>
              </w:rPr>
            </w:pPr>
            <w:r w:rsidRPr="00F9568F">
              <w:rPr>
                <w:b/>
                <w:lang w:val="fr-CA"/>
              </w:rPr>
              <w:t>Procureur général du Canada,</w:t>
            </w:r>
          </w:p>
          <w:p w14:paraId="38787F0F" w14:textId="77777777" w:rsidR="00F9568F" w:rsidRPr="00F9568F" w:rsidRDefault="00F9568F" w:rsidP="00F9568F">
            <w:pPr>
              <w:jc w:val="center"/>
              <w:rPr>
                <w:b/>
                <w:lang w:val="fr-CA"/>
              </w:rPr>
            </w:pPr>
            <w:r w:rsidRPr="00F9568F">
              <w:rPr>
                <w:b/>
                <w:lang w:val="fr-CA"/>
              </w:rPr>
              <w:t>procureur général de l’Ontario,</w:t>
            </w:r>
          </w:p>
          <w:p w14:paraId="01AF2CA2" w14:textId="77777777" w:rsidR="00F9568F" w:rsidRPr="00F9568F" w:rsidRDefault="00F9568F" w:rsidP="00F9568F">
            <w:pPr>
              <w:jc w:val="center"/>
              <w:rPr>
                <w:b/>
                <w:lang w:val="fr-CA"/>
              </w:rPr>
            </w:pPr>
            <w:r w:rsidRPr="00F9568F">
              <w:rPr>
                <w:b/>
                <w:lang w:val="fr-CA"/>
              </w:rPr>
              <w:t>procureur général de la Saskatchewan,</w:t>
            </w:r>
          </w:p>
          <w:p w14:paraId="384FEF96" w14:textId="77777777" w:rsidR="00F9568F" w:rsidRPr="00F9568F" w:rsidRDefault="00F9568F" w:rsidP="00F9568F">
            <w:pPr>
              <w:jc w:val="center"/>
              <w:rPr>
                <w:b/>
                <w:lang w:val="fr-CA"/>
              </w:rPr>
            </w:pPr>
            <w:r w:rsidRPr="00F9568F">
              <w:rPr>
                <w:b/>
                <w:lang w:val="fr-CA"/>
              </w:rPr>
              <w:t>procureur général de l’Alberta et</w:t>
            </w:r>
          </w:p>
          <w:p w14:paraId="6DA711D4" w14:textId="77777777" w:rsidR="00F9568F" w:rsidRPr="00F9568F" w:rsidRDefault="00F9568F" w:rsidP="00F9568F">
            <w:pPr>
              <w:jc w:val="center"/>
              <w:rPr>
                <w:b/>
                <w:lang w:val="fr-CA"/>
              </w:rPr>
            </w:pPr>
            <w:r w:rsidRPr="00F9568F">
              <w:rPr>
                <w:b/>
                <w:lang w:val="fr-CA"/>
              </w:rPr>
              <w:t>Syndicat des travailleuses et travailleurs des industries manufacturières – CSN</w:t>
            </w:r>
          </w:p>
          <w:p w14:paraId="3D63D5AC" w14:textId="77777777" w:rsidR="00F9568F" w:rsidRPr="00F9568F" w:rsidRDefault="00F9568F" w:rsidP="00F9568F">
            <w:pPr>
              <w:jc w:val="center"/>
              <w:rPr>
                <w:lang w:val="fr-CA"/>
              </w:rPr>
            </w:pPr>
            <w:r w:rsidRPr="00F9568F">
              <w:rPr>
                <w:lang w:val="fr-CA"/>
              </w:rPr>
              <w:t>Intervenants</w:t>
            </w:r>
          </w:p>
          <w:p w14:paraId="3A08F170" w14:textId="77777777" w:rsidR="00F9568F" w:rsidRPr="00F9568F" w:rsidRDefault="00F9568F" w:rsidP="00F9568F">
            <w:pPr>
              <w:rPr>
                <w:lang w:val="fr-CA"/>
              </w:rPr>
            </w:pPr>
          </w:p>
          <w:p w14:paraId="04233A3F" w14:textId="77777777" w:rsidR="00F9568F" w:rsidRPr="00F9568F" w:rsidRDefault="00F9568F" w:rsidP="00F9568F">
            <w:pPr>
              <w:jc w:val="center"/>
              <w:rPr>
                <w:b/>
                <w:smallCaps/>
                <w:lang w:val="fr-CA"/>
              </w:rPr>
            </w:pPr>
            <w:r w:rsidRPr="00F9568F">
              <w:rPr>
                <w:b/>
                <w:smallCaps/>
                <w:lang w:val="fr-CA"/>
              </w:rPr>
              <w:t>Traduction française officielle</w:t>
            </w:r>
          </w:p>
          <w:p w14:paraId="567E2D38" w14:textId="77777777" w:rsidR="00F9568F" w:rsidRPr="00F9568F" w:rsidRDefault="00F9568F" w:rsidP="00F9568F">
            <w:pPr>
              <w:rPr>
                <w:lang w:val="fr-CA"/>
              </w:rPr>
            </w:pPr>
          </w:p>
          <w:p w14:paraId="4199AF3C" w14:textId="77777777" w:rsidR="00F9568F" w:rsidRPr="00F9568F" w:rsidRDefault="00F9568F" w:rsidP="00F9568F">
            <w:pPr>
              <w:rPr>
                <w:lang w:val="fr-CA"/>
              </w:rPr>
            </w:pPr>
            <w:r w:rsidRPr="00F9568F">
              <w:rPr>
                <w:b/>
                <w:smallCaps/>
                <w:lang w:val="fr-CA"/>
              </w:rPr>
              <w:t>Coram :</w:t>
            </w:r>
            <w:r w:rsidRPr="00F9568F">
              <w:rPr>
                <w:lang w:val="fr-CA"/>
              </w:rPr>
              <w:t xml:space="preserve"> Le juge en chef Wagner et les juges </w:t>
            </w:r>
            <w:proofErr w:type="spellStart"/>
            <w:r w:rsidRPr="00F9568F">
              <w:rPr>
                <w:lang w:val="fr-CA"/>
              </w:rPr>
              <w:t>Karakatsanis</w:t>
            </w:r>
            <w:proofErr w:type="spellEnd"/>
            <w:r w:rsidRPr="00F9568F">
              <w:rPr>
                <w:lang w:val="fr-CA"/>
              </w:rPr>
              <w:t xml:space="preserve">, Côté, Rowe, Martin, </w:t>
            </w:r>
            <w:proofErr w:type="spellStart"/>
            <w:r w:rsidRPr="00F9568F">
              <w:rPr>
                <w:lang w:val="fr-CA"/>
              </w:rPr>
              <w:t>Kasirer</w:t>
            </w:r>
            <w:proofErr w:type="spellEnd"/>
            <w:r w:rsidRPr="00F9568F">
              <w:rPr>
                <w:lang w:val="fr-CA"/>
              </w:rPr>
              <w:t>, Jamal, O’Bonsawin et Moreau</w:t>
            </w:r>
          </w:p>
          <w:p w14:paraId="3FE46E3C" w14:textId="77777777" w:rsidR="00F9568F" w:rsidRPr="00F9568F" w:rsidRDefault="00F9568F" w:rsidP="00F9568F">
            <w:pPr>
              <w:jc w:val="both"/>
              <w:rPr>
                <w:b/>
                <w:smallCaps/>
                <w:lang w:val="fr-CA"/>
              </w:rPr>
            </w:pPr>
          </w:p>
        </w:tc>
      </w:tr>
      <w:tr w:rsidR="00F9568F" w:rsidRPr="00764BA1" w14:paraId="3318ED6B" w14:textId="77777777" w:rsidTr="00F9568F">
        <w:tblPrEx>
          <w:tblCellMar>
            <w:top w:w="58" w:type="dxa"/>
            <w:left w:w="58" w:type="dxa"/>
            <w:bottom w:w="58" w:type="dxa"/>
            <w:right w:w="58" w:type="dxa"/>
          </w:tblCellMar>
        </w:tblPrEx>
        <w:tc>
          <w:tcPr>
            <w:tcW w:w="1251" w:type="pct"/>
          </w:tcPr>
          <w:p w14:paraId="0EB7789C" w14:textId="77777777" w:rsidR="00F9568F" w:rsidRPr="00B24801" w:rsidRDefault="00F9568F" w:rsidP="00F9568F">
            <w:pPr>
              <w:rPr>
                <w:b/>
                <w:smallCaps/>
                <w:lang w:val="fr-CA"/>
              </w:rPr>
            </w:pPr>
            <w:r w:rsidRPr="00B24801">
              <w:rPr>
                <w:b/>
                <w:smallCaps/>
                <w:lang w:val="fr-CA"/>
              </w:rPr>
              <w:t>Motifs de jugement :</w:t>
            </w:r>
          </w:p>
          <w:p w14:paraId="2F9AB285" w14:textId="77777777" w:rsidR="00F9568F" w:rsidRPr="00F9568F" w:rsidRDefault="00F9568F" w:rsidP="00F9568F">
            <w:pPr>
              <w:rPr>
                <w:smallCaps/>
                <w:lang w:val="fr-CA"/>
              </w:rPr>
            </w:pPr>
            <w:r w:rsidRPr="00F9568F">
              <w:rPr>
                <w:lang w:val="fr-CA"/>
              </w:rPr>
              <w:t>(par. 1 à 122)</w:t>
            </w:r>
          </w:p>
        </w:tc>
        <w:tc>
          <w:tcPr>
            <w:tcW w:w="3749" w:type="pct"/>
            <w:gridSpan w:val="3"/>
          </w:tcPr>
          <w:p w14:paraId="5CBF547B" w14:textId="77777777" w:rsidR="00F9568F" w:rsidRPr="00F9568F" w:rsidRDefault="00F9568F" w:rsidP="00F9568F">
            <w:pPr>
              <w:rPr>
                <w:lang w:val="fr-CA"/>
              </w:rPr>
            </w:pPr>
            <w:r w:rsidRPr="00F9568F">
              <w:rPr>
                <w:lang w:val="fr-CA"/>
              </w:rPr>
              <w:t>La juge Karakatsanis (avec l’accord des juges Rowe, Martin, Jamal et Moreau)</w:t>
            </w:r>
          </w:p>
        </w:tc>
      </w:tr>
      <w:tr w:rsidR="00F9568F" w:rsidRPr="00764BA1" w14:paraId="37C1733C" w14:textId="77777777" w:rsidTr="00F9568F">
        <w:tblPrEx>
          <w:tblCellMar>
            <w:top w:w="58" w:type="dxa"/>
            <w:left w:w="58" w:type="dxa"/>
            <w:bottom w:w="58" w:type="dxa"/>
            <w:right w:w="58" w:type="dxa"/>
          </w:tblCellMar>
        </w:tblPrEx>
        <w:tc>
          <w:tcPr>
            <w:tcW w:w="1251" w:type="pct"/>
          </w:tcPr>
          <w:p w14:paraId="5E58E993" w14:textId="77777777" w:rsidR="00F9568F" w:rsidRPr="00F9568F" w:rsidRDefault="00F9568F" w:rsidP="00F9568F">
            <w:pPr>
              <w:rPr>
                <w:lang w:val="fr-CA"/>
              </w:rPr>
            </w:pPr>
          </w:p>
        </w:tc>
        <w:tc>
          <w:tcPr>
            <w:tcW w:w="3749" w:type="pct"/>
            <w:gridSpan w:val="3"/>
          </w:tcPr>
          <w:p w14:paraId="1405A617" w14:textId="77777777" w:rsidR="00F9568F" w:rsidRPr="00F9568F" w:rsidRDefault="00F9568F" w:rsidP="00F9568F">
            <w:pPr>
              <w:rPr>
                <w:lang w:val="fr-CA"/>
              </w:rPr>
            </w:pPr>
          </w:p>
        </w:tc>
      </w:tr>
      <w:tr w:rsidR="00F9568F" w:rsidRPr="00764BA1" w14:paraId="22F7D7A4" w14:textId="77777777" w:rsidTr="00F9568F">
        <w:tblPrEx>
          <w:tblCellMar>
            <w:top w:w="58" w:type="dxa"/>
            <w:left w:w="58" w:type="dxa"/>
            <w:bottom w:w="58" w:type="dxa"/>
            <w:right w:w="58" w:type="dxa"/>
          </w:tblCellMar>
        </w:tblPrEx>
        <w:tc>
          <w:tcPr>
            <w:tcW w:w="1251" w:type="pct"/>
          </w:tcPr>
          <w:p w14:paraId="136E8517" w14:textId="77777777" w:rsidR="00C52D38" w:rsidRDefault="00F9568F" w:rsidP="00F9568F">
            <w:pPr>
              <w:rPr>
                <w:lang w:val="fr-CA"/>
              </w:rPr>
            </w:pPr>
            <w:r w:rsidRPr="00B24801">
              <w:rPr>
                <w:b/>
                <w:smallCaps/>
                <w:lang w:val="fr-CA"/>
              </w:rPr>
              <w:lastRenderedPageBreak/>
              <w:t>Motifs dissidents :</w:t>
            </w:r>
            <w:r w:rsidRPr="00F9568F">
              <w:rPr>
                <w:lang w:val="fr-CA"/>
              </w:rPr>
              <w:t xml:space="preserve"> </w:t>
            </w:r>
          </w:p>
          <w:p w14:paraId="11F470FD" w14:textId="77777777" w:rsidR="00F9568F" w:rsidRPr="00F9568F" w:rsidRDefault="00F9568F" w:rsidP="00F9568F">
            <w:pPr>
              <w:rPr>
                <w:smallCaps/>
                <w:lang w:val="fr-CA"/>
              </w:rPr>
            </w:pPr>
            <w:r w:rsidRPr="00F9568F">
              <w:rPr>
                <w:lang w:val="fr-CA"/>
              </w:rPr>
              <w:t>(par. 123 à 237)</w:t>
            </w:r>
          </w:p>
        </w:tc>
        <w:tc>
          <w:tcPr>
            <w:tcW w:w="3749" w:type="pct"/>
            <w:gridSpan w:val="3"/>
          </w:tcPr>
          <w:p w14:paraId="699F6523" w14:textId="77777777" w:rsidR="00F9568F" w:rsidRPr="00F9568F" w:rsidRDefault="00F9568F" w:rsidP="00F9568F">
            <w:pPr>
              <w:rPr>
                <w:lang w:val="fr-CA"/>
              </w:rPr>
            </w:pPr>
            <w:r w:rsidRPr="00F9568F">
              <w:rPr>
                <w:lang w:val="fr-CA"/>
              </w:rPr>
              <w:t>Le juge Kasirer (avec l’accord du juge en chef Wagner et des juges Côté et O’Bonsawin)</w:t>
            </w:r>
          </w:p>
        </w:tc>
      </w:tr>
      <w:tr w:rsidR="00F9568F" w:rsidRPr="00764BA1" w14:paraId="4E90017E" w14:textId="77777777" w:rsidTr="00F9568F">
        <w:tblPrEx>
          <w:tblCellMar>
            <w:top w:w="58" w:type="dxa"/>
            <w:left w:w="58" w:type="dxa"/>
            <w:bottom w:w="58" w:type="dxa"/>
            <w:right w:w="58" w:type="dxa"/>
          </w:tblCellMar>
        </w:tblPrEx>
        <w:tc>
          <w:tcPr>
            <w:tcW w:w="1251" w:type="pct"/>
          </w:tcPr>
          <w:p w14:paraId="191885F2" w14:textId="77777777" w:rsidR="00F9568F" w:rsidRPr="00F9568F" w:rsidRDefault="00F9568F" w:rsidP="00F9568F">
            <w:pPr>
              <w:rPr>
                <w:lang w:val="fr-CA"/>
              </w:rPr>
            </w:pPr>
          </w:p>
        </w:tc>
        <w:tc>
          <w:tcPr>
            <w:tcW w:w="3749" w:type="pct"/>
            <w:gridSpan w:val="3"/>
          </w:tcPr>
          <w:p w14:paraId="5CD766CF" w14:textId="77777777" w:rsidR="00F9568F" w:rsidRPr="00F9568F" w:rsidRDefault="00F9568F" w:rsidP="00F9568F">
            <w:pPr>
              <w:rPr>
                <w:lang w:val="fr-CA"/>
              </w:rPr>
            </w:pPr>
          </w:p>
        </w:tc>
      </w:tr>
    </w:tbl>
    <w:p w14:paraId="05962701" w14:textId="77777777" w:rsidR="00F9568F" w:rsidRPr="00F9568F" w:rsidRDefault="00F9568F" w:rsidP="00F9568F">
      <w:pPr>
        <w:rPr>
          <w:rFonts w:eastAsiaTheme="minorHAnsi" w:cstheme="minorBidi"/>
          <w:szCs w:val="24"/>
          <w:lang w:val="fr-CA" w:eastAsia="en-US"/>
        </w:rPr>
      </w:pPr>
    </w:p>
    <w:p w14:paraId="6C62F7E0" w14:textId="77777777" w:rsidR="00F9568F" w:rsidRPr="00F9568F" w:rsidRDefault="00F9568F" w:rsidP="00F9568F">
      <w:pPr>
        <w:rPr>
          <w:rFonts w:eastAsiaTheme="minorHAnsi" w:cstheme="minorBidi"/>
          <w:szCs w:val="24"/>
          <w:lang w:val="fr-CA" w:eastAsia="en-US"/>
        </w:rPr>
      </w:pPr>
    </w:p>
    <w:p w14:paraId="2BCC3427" w14:textId="77777777" w:rsidR="00F9568F" w:rsidRPr="00F9568F" w:rsidRDefault="00F9568F" w:rsidP="00F9568F">
      <w:pPr>
        <w:rPr>
          <w:rFonts w:eastAsiaTheme="minorHAnsi" w:cstheme="minorBidi"/>
          <w:szCs w:val="24"/>
          <w:lang w:val="fr-CA" w:eastAsia="en-US"/>
        </w:rPr>
      </w:pPr>
      <w:r w:rsidRPr="00F9568F">
        <w:rPr>
          <w:rFonts w:eastAsiaTheme="minorHAnsi" w:cstheme="minorBidi"/>
          <w:b/>
          <w:smallCaps/>
          <w:szCs w:val="24"/>
          <w:lang w:val="fr-CA" w:eastAsia="en-US"/>
        </w:rPr>
        <w:t>Note :</w:t>
      </w:r>
      <w:r w:rsidRPr="00F9568F">
        <w:rPr>
          <w:rFonts w:eastAsiaTheme="minorHAnsi" w:cstheme="minorBidi"/>
          <w:b/>
          <w:szCs w:val="24"/>
          <w:lang w:val="fr-CA" w:eastAsia="en-US"/>
        </w:rPr>
        <w:t xml:space="preserve"> </w:t>
      </w:r>
      <w:r w:rsidRPr="00F9568F">
        <w:rPr>
          <w:rFonts w:eastAsiaTheme="minorHAnsi" w:cstheme="minorBidi"/>
          <w:szCs w:val="24"/>
          <w:lang w:val="fr-CA" w:eastAsia="en-US"/>
        </w:rPr>
        <w:t xml:space="preserve">Ce document fera l’objet de retouches de forme avant la parution de sa version définitive dans le </w:t>
      </w:r>
      <w:r w:rsidRPr="00F9568F">
        <w:rPr>
          <w:rFonts w:eastAsiaTheme="minorHAnsi" w:cstheme="minorBidi"/>
          <w:i/>
          <w:szCs w:val="24"/>
          <w:lang w:val="fr-CA" w:eastAsia="en-US"/>
        </w:rPr>
        <w:t>Recueil des arrêts de la Cour suprême du Canada</w:t>
      </w:r>
      <w:r w:rsidRPr="00F9568F">
        <w:rPr>
          <w:rFonts w:eastAsiaTheme="minorHAnsi" w:cstheme="minorBidi"/>
          <w:szCs w:val="24"/>
          <w:lang w:val="fr-CA" w:eastAsia="en-US"/>
        </w:rPr>
        <w:t>.</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4"/>
        <w:gridCol w:w="3312"/>
        <w:gridCol w:w="2484"/>
      </w:tblGrid>
      <w:tr w:rsidR="00F9568F" w:rsidRPr="00764BA1" w14:paraId="63E86D6F" w14:textId="77777777" w:rsidTr="009E6D25">
        <w:tc>
          <w:tcPr>
            <w:tcW w:w="1500" w:type="pct"/>
            <w:tcMar>
              <w:top w:w="284" w:type="dxa"/>
            </w:tcMar>
          </w:tcPr>
          <w:p w14:paraId="53F985AC" w14:textId="77777777" w:rsidR="00F9568F" w:rsidRPr="00F9568F" w:rsidRDefault="00F9568F" w:rsidP="00F9568F">
            <w:pPr>
              <w:rPr>
                <w:lang w:val="fr-CA"/>
              </w:rPr>
            </w:pPr>
          </w:p>
        </w:tc>
        <w:tc>
          <w:tcPr>
            <w:tcW w:w="2000" w:type="pct"/>
            <w:tcBorders>
              <w:bottom w:val="single" w:sz="4" w:space="0" w:color="auto"/>
            </w:tcBorders>
            <w:tcMar>
              <w:top w:w="284" w:type="dxa"/>
            </w:tcMar>
          </w:tcPr>
          <w:p w14:paraId="2689F898" w14:textId="77777777" w:rsidR="00F9568F" w:rsidRPr="00F9568F" w:rsidRDefault="00F9568F" w:rsidP="00F9568F">
            <w:pPr>
              <w:rPr>
                <w:lang w:val="fr-CA"/>
              </w:rPr>
            </w:pPr>
          </w:p>
        </w:tc>
        <w:tc>
          <w:tcPr>
            <w:tcW w:w="1500" w:type="pct"/>
            <w:tcMar>
              <w:top w:w="284" w:type="dxa"/>
            </w:tcMar>
          </w:tcPr>
          <w:p w14:paraId="1612A248" w14:textId="77777777" w:rsidR="00F9568F" w:rsidRPr="00F9568F" w:rsidRDefault="00F9568F" w:rsidP="00F9568F">
            <w:pPr>
              <w:rPr>
                <w:lang w:val="fr-CA"/>
              </w:rPr>
            </w:pPr>
          </w:p>
        </w:tc>
      </w:tr>
    </w:tbl>
    <w:p w14:paraId="66BB2DE3" w14:textId="77777777" w:rsidR="00F9568F" w:rsidRPr="00F9568F" w:rsidRDefault="00F9568F" w:rsidP="00F9568F">
      <w:pPr>
        <w:rPr>
          <w:rFonts w:eastAsiaTheme="minorHAnsi" w:cstheme="minorBidi"/>
          <w:szCs w:val="24"/>
          <w:lang w:val="fr-CA" w:eastAsia="en-US"/>
        </w:rPr>
      </w:pPr>
    </w:p>
    <w:p w14:paraId="35DC5341" w14:textId="77777777" w:rsidR="00F9568F" w:rsidRPr="00B24801" w:rsidRDefault="00F9568F">
      <w:pPr>
        <w:rPr>
          <w:b/>
          <w:lang w:val="fr-FR"/>
        </w:rPr>
      </w:pPr>
      <w:r w:rsidRPr="00B24801">
        <w:rPr>
          <w:lang w:val="fr-FR"/>
        </w:rPr>
        <w:br w:type="page"/>
      </w:r>
    </w:p>
    <w:p w14:paraId="6072ACC4" w14:textId="77777777" w:rsidR="001162C6" w:rsidRPr="00B24801" w:rsidRDefault="00167D15">
      <w:pPr>
        <w:pStyle w:val="SCCLsocLastPartyInRole"/>
        <w:widowControl w:val="0"/>
        <w:rPr>
          <w:lang w:val="fr-FR"/>
        </w:rPr>
      </w:pPr>
      <w:r w:rsidRPr="00B24801">
        <w:rPr>
          <w:lang w:val="fr-FR"/>
        </w:rPr>
        <w:lastRenderedPageBreak/>
        <w:t>Procureur général du Québec</w:t>
      </w:r>
      <w:r w:rsidRPr="00B24801">
        <w:rPr>
          <w:rStyle w:val="SCCLsocPartyRole"/>
          <w:lang w:val="fr-FR"/>
        </w:rPr>
        <w:tab/>
        <w:t>Appelant</w:t>
      </w:r>
    </w:p>
    <w:p w14:paraId="2A5AD856" w14:textId="77777777" w:rsidR="001162C6" w:rsidRPr="00B24801" w:rsidRDefault="00167D15">
      <w:pPr>
        <w:pStyle w:val="SCCLsocVersus"/>
        <w:widowControl w:val="0"/>
        <w:rPr>
          <w:lang w:val="fr-FR"/>
        </w:rPr>
      </w:pPr>
      <w:r w:rsidRPr="00B24801">
        <w:rPr>
          <w:lang w:val="fr-FR"/>
        </w:rPr>
        <w:t>c.</w:t>
      </w:r>
    </w:p>
    <w:p w14:paraId="7A2A1BC1" w14:textId="77777777" w:rsidR="001162C6" w:rsidRPr="00B24801" w:rsidRDefault="00167D15">
      <w:pPr>
        <w:pStyle w:val="SCCLsocLastPartyInRole"/>
        <w:widowControl w:val="0"/>
        <w:rPr>
          <w:lang w:val="fr-FR"/>
        </w:rPr>
      </w:pPr>
      <w:r w:rsidRPr="00B24801">
        <w:rPr>
          <w:lang w:val="fr-FR"/>
        </w:rPr>
        <w:t xml:space="preserve">SGS Canada </w:t>
      </w:r>
      <w:proofErr w:type="spellStart"/>
      <w:r w:rsidRPr="00B24801">
        <w:rPr>
          <w:lang w:val="fr-FR"/>
        </w:rPr>
        <w:t>inc.</w:t>
      </w:r>
      <w:proofErr w:type="spellEnd"/>
      <w:r w:rsidRPr="00B24801">
        <w:rPr>
          <w:rStyle w:val="SCCLsocPartyRole"/>
          <w:lang w:val="fr-FR"/>
        </w:rPr>
        <w:tab/>
        <w:t>Intimée</w:t>
      </w:r>
    </w:p>
    <w:p w14:paraId="3C77A403" w14:textId="77777777" w:rsidR="001162C6" w:rsidRPr="00B24801" w:rsidRDefault="00167D15">
      <w:pPr>
        <w:pStyle w:val="SCCLsocOtherPartySeparator"/>
        <w:widowControl w:val="0"/>
        <w:rPr>
          <w:lang w:val="fr-FR"/>
        </w:rPr>
      </w:pPr>
      <w:proofErr w:type="gramStart"/>
      <w:r w:rsidRPr="00B24801">
        <w:rPr>
          <w:lang w:val="fr-FR"/>
        </w:rPr>
        <w:t>et</w:t>
      </w:r>
      <w:proofErr w:type="gramEnd"/>
    </w:p>
    <w:p w14:paraId="54DBEC51" w14:textId="77777777" w:rsidR="001162C6" w:rsidRPr="00B24801" w:rsidRDefault="00167D15">
      <w:pPr>
        <w:pStyle w:val="SCCLsocParty"/>
        <w:widowControl w:val="0"/>
        <w:rPr>
          <w:lang w:val="fr-FR"/>
        </w:rPr>
      </w:pPr>
      <w:r w:rsidRPr="00B24801">
        <w:rPr>
          <w:lang w:val="fr-FR"/>
        </w:rPr>
        <w:t>Procureur général du Canada,</w:t>
      </w:r>
    </w:p>
    <w:p w14:paraId="1405C87A" w14:textId="77777777" w:rsidR="001162C6" w:rsidRPr="00B24801" w:rsidRDefault="00167D15">
      <w:pPr>
        <w:pStyle w:val="SCCLsocParty"/>
        <w:widowControl w:val="0"/>
        <w:rPr>
          <w:lang w:val="fr-FR"/>
        </w:rPr>
      </w:pPr>
      <w:proofErr w:type="gramStart"/>
      <w:r w:rsidRPr="00B24801">
        <w:rPr>
          <w:lang w:val="fr-FR"/>
        </w:rPr>
        <w:t>procureur</w:t>
      </w:r>
      <w:proofErr w:type="gramEnd"/>
      <w:r w:rsidRPr="00B24801">
        <w:rPr>
          <w:lang w:val="fr-FR"/>
        </w:rPr>
        <w:t xml:space="preserve"> général de l’Ontario,</w:t>
      </w:r>
    </w:p>
    <w:p w14:paraId="3CE8BD1F" w14:textId="77777777" w:rsidR="001162C6" w:rsidRPr="00B24801" w:rsidRDefault="00167D15">
      <w:pPr>
        <w:pStyle w:val="SCCLsocParty"/>
        <w:widowControl w:val="0"/>
        <w:rPr>
          <w:lang w:val="fr-FR"/>
        </w:rPr>
      </w:pPr>
      <w:proofErr w:type="gramStart"/>
      <w:r w:rsidRPr="00B24801">
        <w:rPr>
          <w:lang w:val="fr-FR"/>
        </w:rPr>
        <w:t>procureur</w:t>
      </w:r>
      <w:proofErr w:type="gramEnd"/>
      <w:r w:rsidRPr="00B24801">
        <w:rPr>
          <w:lang w:val="fr-FR"/>
        </w:rPr>
        <w:t xml:space="preserve"> général de la Saskatchewan</w:t>
      </w:r>
    </w:p>
    <w:p w14:paraId="47AC2F12" w14:textId="77777777" w:rsidR="001162C6" w:rsidRPr="00B24801" w:rsidRDefault="00167D15">
      <w:pPr>
        <w:pStyle w:val="SCCLsocParty"/>
        <w:widowControl w:val="0"/>
        <w:rPr>
          <w:lang w:val="fr-FR"/>
        </w:rPr>
      </w:pPr>
      <w:proofErr w:type="gramStart"/>
      <w:r w:rsidRPr="00B24801">
        <w:rPr>
          <w:lang w:val="fr-FR"/>
        </w:rPr>
        <w:t>procureur</w:t>
      </w:r>
      <w:proofErr w:type="gramEnd"/>
      <w:r w:rsidRPr="00B24801">
        <w:rPr>
          <w:lang w:val="fr-FR"/>
        </w:rPr>
        <w:t xml:space="preserve"> général de l’Alberta et</w:t>
      </w:r>
    </w:p>
    <w:p w14:paraId="33969317" w14:textId="77777777" w:rsidR="001162C6" w:rsidRPr="00B24801" w:rsidRDefault="00167D15">
      <w:pPr>
        <w:pStyle w:val="SCCLsocParty"/>
        <w:widowControl w:val="0"/>
        <w:rPr>
          <w:lang w:val="fr-FR"/>
        </w:rPr>
      </w:pPr>
      <w:r w:rsidRPr="00B24801">
        <w:rPr>
          <w:lang w:val="fr-FR"/>
        </w:rPr>
        <w:t xml:space="preserve">Syndicat des travailleuses et travailleurs des industries </w:t>
      </w:r>
    </w:p>
    <w:p w14:paraId="3295B31F" w14:textId="77777777" w:rsidR="001162C6" w:rsidRPr="00B24801" w:rsidRDefault="00167D15">
      <w:pPr>
        <w:pStyle w:val="SCCLsocParty"/>
        <w:widowControl w:val="0"/>
        <w:spacing w:after="720"/>
        <w:rPr>
          <w:lang w:val="fr-FR"/>
        </w:rPr>
      </w:pPr>
      <w:proofErr w:type="gramStart"/>
      <w:r w:rsidRPr="00B24801">
        <w:rPr>
          <w:lang w:val="fr-FR"/>
        </w:rPr>
        <w:t>manufacturières</w:t>
      </w:r>
      <w:proofErr w:type="gramEnd"/>
      <w:r w:rsidRPr="00B24801">
        <w:rPr>
          <w:lang w:val="fr-FR"/>
        </w:rPr>
        <w:t xml:space="preserve"> </w:t>
      </w:r>
      <w:r w:rsidRPr="00B24801">
        <w:rPr>
          <w:rStyle w:val="SCCCounselPartyRoleChar"/>
          <w:lang w:val="fr-FR"/>
        </w:rPr>
        <w:t xml:space="preserve">– </w:t>
      </w:r>
      <w:r w:rsidRPr="00B24801">
        <w:rPr>
          <w:lang w:val="fr-FR"/>
        </w:rPr>
        <w:t>CSN</w:t>
      </w:r>
      <w:r w:rsidRPr="00B24801">
        <w:rPr>
          <w:rStyle w:val="SCCLsocPartyRole"/>
          <w:lang w:val="fr-FR"/>
        </w:rPr>
        <w:tab/>
        <w:t>Intervenants</w:t>
      </w:r>
    </w:p>
    <w:p w14:paraId="340576F7" w14:textId="77777777" w:rsidR="001162C6" w:rsidRPr="00B24801" w:rsidRDefault="00167D15">
      <w:pPr>
        <w:widowControl w:val="0"/>
        <w:spacing w:after="720"/>
        <w:jc w:val="both"/>
        <w:rPr>
          <w:b/>
          <w:lang w:val="fr-FR"/>
        </w:rPr>
      </w:pPr>
      <w:r w:rsidRPr="00B24801">
        <w:rPr>
          <w:b/>
          <w:lang w:val="fr-CA"/>
        </w:rPr>
        <w:t xml:space="preserve">Répertorié : </w:t>
      </w:r>
      <w:r w:rsidRPr="00B24801">
        <w:rPr>
          <w:rStyle w:val="SCCAppellantForIndexChar"/>
          <w:lang w:val="fr-FR"/>
        </w:rPr>
        <w:t>Québec (Procureur général)</w:t>
      </w:r>
      <w:r w:rsidRPr="00B24801">
        <w:rPr>
          <w:b/>
          <w:lang w:val="fr-CA"/>
        </w:rPr>
        <w:t xml:space="preserve"> </w:t>
      </w:r>
      <w:r w:rsidRPr="00B24801">
        <w:rPr>
          <w:b/>
          <w:i/>
          <w:lang w:val="fr-CA"/>
        </w:rPr>
        <w:t>c.</w:t>
      </w:r>
      <w:r w:rsidRPr="00B24801">
        <w:rPr>
          <w:b/>
          <w:lang w:val="fr-CA"/>
        </w:rPr>
        <w:t xml:space="preserve"> </w:t>
      </w:r>
      <w:r w:rsidRPr="00B24801">
        <w:rPr>
          <w:rStyle w:val="SCCRespondentForIndexChar"/>
          <w:lang w:val="fr-FR"/>
        </w:rPr>
        <w:t xml:space="preserve">SGS Canada </w:t>
      </w:r>
      <w:proofErr w:type="spellStart"/>
      <w:r w:rsidRPr="00B24801">
        <w:rPr>
          <w:rStyle w:val="SCCRespondentForIndexChar"/>
          <w:lang w:val="fr-FR"/>
        </w:rPr>
        <w:t>inc.</w:t>
      </w:r>
      <w:proofErr w:type="spellEnd"/>
    </w:p>
    <w:p w14:paraId="50B1BF3E" w14:textId="77777777" w:rsidR="001162C6" w:rsidRPr="00B24801" w:rsidRDefault="00167D15">
      <w:pPr>
        <w:pStyle w:val="SCCSystemYear"/>
        <w:widowControl w:val="0"/>
        <w:spacing w:after="720"/>
        <w:jc w:val="both"/>
        <w:rPr>
          <w:lang w:val="fr-FR"/>
        </w:rPr>
      </w:pPr>
      <w:r w:rsidRPr="00B24801">
        <w:rPr>
          <w:lang w:val="fr-FR"/>
        </w:rPr>
        <w:t>2026 CSC</w:t>
      </w:r>
      <w:r w:rsidR="006748A0" w:rsidRPr="00B24801">
        <w:rPr>
          <w:lang w:val="fr-FR"/>
        </w:rPr>
        <w:t xml:space="preserve"> 37</w:t>
      </w:r>
    </w:p>
    <w:p w14:paraId="4E027B60" w14:textId="77777777" w:rsidR="001162C6" w:rsidRPr="00B24801" w:rsidRDefault="00167D15">
      <w:pPr>
        <w:widowControl w:val="0"/>
        <w:spacing w:after="720"/>
        <w:jc w:val="both"/>
        <w:rPr>
          <w:lang w:val="fr-FR"/>
        </w:rPr>
      </w:pPr>
      <w:r w:rsidRPr="00B24801">
        <w:rPr>
          <w:lang w:val="fr-FR"/>
        </w:rPr>
        <w:t>N</w:t>
      </w:r>
      <w:r w:rsidRPr="00B24801">
        <w:rPr>
          <w:vertAlign w:val="superscript"/>
          <w:lang w:val="fr-FR"/>
        </w:rPr>
        <w:t>o</w:t>
      </w:r>
      <w:r w:rsidRPr="00B24801">
        <w:rPr>
          <w:lang w:val="fr-FR"/>
        </w:rPr>
        <w:t xml:space="preserve"> du greffe : 41334.</w:t>
      </w:r>
    </w:p>
    <w:p w14:paraId="5043E126" w14:textId="77777777" w:rsidR="001162C6" w:rsidRPr="00B24801" w:rsidRDefault="00167D15">
      <w:pPr>
        <w:widowControl w:val="0"/>
        <w:spacing w:after="720"/>
        <w:jc w:val="both"/>
        <w:rPr>
          <w:lang w:val="fr-FR"/>
        </w:rPr>
      </w:pPr>
      <w:r w:rsidRPr="00B24801">
        <w:rPr>
          <w:lang w:val="fr-FR"/>
        </w:rPr>
        <w:t xml:space="preserve">2025 : 2 </w:t>
      </w:r>
      <w:proofErr w:type="gramStart"/>
      <w:r w:rsidRPr="00B24801">
        <w:rPr>
          <w:lang w:val="fr-FR"/>
        </w:rPr>
        <w:t>décembre;</w:t>
      </w:r>
      <w:proofErr w:type="gramEnd"/>
      <w:r w:rsidRPr="00B24801">
        <w:rPr>
          <w:lang w:val="fr-FR"/>
        </w:rPr>
        <w:t xml:space="preserve"> 2026 : 6 novembre.</w:t>
      </w:r>
    </w:p>
    <w:p w14:paraId="57214F63" w14:textId="77777777" w:rsidR="001162C6" w:rsidRPr="00B24801" w:rsidRDefault="00167D15">
      <w:pPr>
        <w:widowControl w:val="0"/>
        <w:spacing w:after="720"/>
        <w:jc w:val="both"/>
        <w:rPr>
          <w:lang w:val="fr-FR"/>
        </w:rPr>
      </w:pPr>
      <w:r w:rsidRPr="00B24801">
        <w:rPr>
          <w:lang w:val="fr-FR"/>
        </w:rPr>
        <w:t xml:space="preserve">Présents : Le juge en chef Wagner et les juges </w:t>
      </w:r>
      <w:proofErr w:type="spellStart"/>
      <w:r w:rsidRPr="00B24801">
        <w:rPr>
          <w:lang w:val="fr-FR"/>
        </w:rPr>
        <w:t>Karakatsanis</w:t>
      </w:r>
      <w:proofErr w:type="spellEnd"/>
      <w:r w:rsidRPr="00B24801">
        <w:rPr>
          <w:lang w:val="fr-FR"/>
        </w:rPr>
        <w:t xml:space="preserve">, Côté, Rowe, Martin, </w:t>
      </w:r>
      <w:proofErr w:type="spellStart"/>
      <w:r w:rsidRPr="00B24801">
        <w:rPr>
          <w:lang w:val="fr-FR"/>
        </w:rPr>
        <w:t>Kasirer</w:t>
      </w:r>
      <w:proofErr w:type="spellEnd"/>
      <w:r w:rsidRPr="00B24801">
        <w:rPr>
          <w:lang w:val="fr-FR"/>
        </w:rPr>
        <w:t>, Jamal, O’Bonsawin et Moreau.</w:t>
      </w:r>
    </w:p>
    <w:p w14:paraId="33EF67FA" w14:textId="77777777" w:rsidR="001162C6" w:rsidRPr="00B24801" w:rsidRDefault="00167D15">
      <w:pPr>
        <w:widowControl w:val="0"/>
        <w:spacing w:after="720"/>
        <w:jc w:val="both"/>
        <w:rPr>
          <w:smallCaps/>
          <w:lang w:val="fr-CA"/>
        </w:rPr>
      </w:pPr>
      <w:r w:rsidRPr="00B24801">
        <w:rPr>
          <w:smallCaps/>
          <w:lang w:val="fr-CA"/>
        </w:rPr>
        <w:t xml:space="preserve">en appel de la </w:t>
      </w:r>
      <w:r w:rsidRPr="00B24801">
        <w:rPr>
          <w:smallCaps/>
          <w:lang w:val="fr-FR"/>
        </w:rPr>
        <w:t xml:space="preserve">cour d’appel du </w:t>
      </w:r>
      <w:proofErr w:type="spellStart"/>
      <w:r w:rsidRPr="00B24801">
        <w:rPr>
          <w:smallCaps/>
          <w:lang w:val="fr-FR"/>
        </w:rPr>
        <w:t>qu</w:t>
      </w:r>
      <w:proofErr w:type="spellEnd"/>
      <w:r w:rsidRPr="00B24801">
        <w:rPr>
          <w:smallCaps/>
          <w:lang w:val="fr-CA"/>
        </w:rPr>
        <w:t>é</w:t>
      </w:r>
      <w:r w:rsidRPr="00B24801">
        <w:rPr>
          <w:smallCaps/>
          <w:lang w:val="fr-FR"/>
        </w:rPr>
        <w:t>bec</w:t>
      </w:r>
    </w:p>
    <w:p w14:paraId="0274A197" w14:textId="77777777" w:rsidR="001162C6" w:rsidRPr="00B24801" w:rsidRDefault="00167D15">
      <w:pPr>
        <w:pStyle w:val="SCCNormalKeyWords"/>
        <w:widowControl w:val="0"/>
        <w:spacing w:after="480"/>
      </w:pPr>
      <w:r w:rsidRPr="00B24801">
        <w:lastRenderedPageBreak/>
        <w:tab/>
        <w:t>Droit constitutionnel — Partage des compétences — Pouvoir déclaratoire fédéral — Compétence — Relations de travail — Société fournissant des services d’analyse, d’inspection et de certification dans différents secteurs au Canada — Employés de la succursale de Montréal de la division agriculture et agroalimentaire d</w:t>
      </w:r>
      <w:r w:rsidR="00F912BA" w:rsidRPr="00B24801">
        <w:t>e la</w:t>
      </w:r>
      <w:r w:rsidRPr="00B24801">
        <w:t xml:space="preserve"> société travaillant presque exclusivement pour six silos à grains au Québec qui sont des ouvrages déclarés être à l’avantage général du Canada conformément au pouvoir déclaratoire fédéral — Requête en accréditation visant la représentation de 14 employés de la succursale présentée par le syndicat au titre du code provincial du travail — Requête rejetée au motif que les relations de travail des employés de la succursale sont assujetties à la compétence fédérale — Les relations de travail des employés de la succursale sont-elles assujetties à la compétence fédérale</w:t>
      </w:r>
      <w:r w:rsidR="00F912BA" w:rsidRPr="00B24801">
        <w:t>, soit</w:t>
      </w:r>
      <w:r w:rsidRPr="00B24801">
        <w:t xml:space="preserve"> directe ou dérivée? — Loi constitutionnelle de 1867, art. 92(10)c) — Loi sur les grains du Canada, L.R.C. 1985, c. G-10, art. 55(1).</w:t>
      </w:r>
    </w:p>
    <w:p w14:paraId="4F67C112" w14:textId="77777777" w:rsidR="001162C6" w:rsidRPr="00B24801" w:rsidRDefault="00167D15">
      <w:pPr>
        <w:pStyle w:val="SCCNormalDoubleSpacing"/>
        <w:widowControl w:val="0"/>
        <w:spacing w:after="480"/>
        <w:rPr>
          <w:lang w:val="fr-CA"/>
        </w:rPr>
      </w:pPr>
      <w:r w:rsidRPr="00B24801">
        <w:rPr>
          <w:lang w:val="fr-CA"/>
        </w:rPr>
        <w:tab/>
      </w:r>
      <w:r w:rsidRPr="00B24801">
        <w:rPr>
          <w:iCs/>
          <w:lang w:val="fr-CA"/>
        </w:rPr>
        <w:t xml:space="preserve">SGS Canada </w:t>
      </w:r>
      <w:proofErr w:type="spellStart"/>
      <w:r w:rsidRPr="00B24801">
        <w:rPr>
          <w:iCs/>
          <w:lang w:val="fr-CA"/>
        </w:rPr>
        <w:t>inc.</w:t>
      </w:r>
      <w:proofErr w:type="spellEnd"/>
      <w:r w:rsidRPr="00B24801">
        <w:rPr>
          <w:iCs/>
          <w:lang w:val="fr-CA"/>
        </w:rPr>
        <w:t xml:space="preserve"> est une </w:t>
      </w:r>
      <w:r w:rsidR="00F912BA" w:rsidRPr="00B24801">
        <w:rPr>
          <w:iCs/>
          <w:lang w:val="fr-CA"/>
        </w:rPr>
        <w:t>société</w:t>
      </w:r>
      <w:r w:rsidRPr="00B24801">
        <w:rPr>
          <w:iCs/>
          <w:lang w:val="fr-CA"/>
        </w:rPr>
        <w:t xml:space="preserve"> d’analyse, d’inspection et de certification qui offre ses services dans différents secteurs au Canada. La Division agriculture et agroalimentaire de la société est sa seule division spécialisée dans l’agriculture et elle effectue 80 pour 100 des analyses pour l’ensemble du marché canadien du grain (« Division »)</w:t>
      </w:r>
      <w:r w:rsidRPr="00B24801">
        <w:rPr>
          <w:lang w:val="fr-CA"/>
        </w:rPr>
        <w:t xml:space="preserve">. La Division compte huit succursales au Canada, dont une au Québec, située à Montréal, laquelle agit à titre d’organisme indépendant d’inspection et de surveillance qui délivre des certificats de conformité au nom de SGS (« Succursale »). La Succursale emploie 14 inspecteurs et agents de classement de grains et se consacre presque exclusivement aux six silos à grains le long du fleuve Saint-Laurent, au </w:t>
      </w:r>
      <w:r w:rsidRPr="00B24801">
        <w:rPr>
          <w:lang w:val="fr-CA"/>
        </w:rPr>
        <w:lastRenderedPageBreak/>
        <w:t xml:space="preserve">Québec. Les silos sont tous des </w:t>
      </w:r>
      <w:r w:rsidR="00F912BA" w:rsidRPr="00B24801">
        <w:rPr>
          <w:lang w:val="fr-CA"/>
        </w:rPr>
        <w:t>travaux (aussi appelés « </w:t>
      </w:r>
      <w:r w:rsidRPr="00B24801">
        <w:rPr>
          <w:lang w:val="fr-CA"/>
        </w:rPr>
        <w:t>ouvrages</w:t>
      </w:r>
      <w:r w:rsidR="00F912BA" w:rsidRPr="00B24801">
        <w:rPr>
          <w:lang w:val="fr-CA"/>
        </w:rPr>
        <w:t> »)</w:t>
      </w:r>
      <w:r w:rsidRPr="00B24801">
        <w:rPr>
          <w:lang w:val="fr-CA"/>
        </w:rPr>
        <w:t xml:space="preserve"> déclarés à l’avantage général du Canada aux termes du par. 55(1) de la </w:t>
      </w:r>
      <w:r w:rsidRPr="00B24801">
        <w:rPr>
          <w:i/>
          <w:iCs/>
          <w:lang w:val="fr-CA"/>
        </w:rPr>
        <w:t>Loi sur les grains du Canada</w:t>
      </w:r>
      <w:r w:rsidRPr="00B24801">
        <w:rPr>
          <w:lang w:val="fr-CA"/>
        </w:rPr>
        <w:t xml:space="preserve"> et relèvent donc de la compétence fédérale au titre de l’al. </w:t>
      </w:r>
      <w:r w:rsidRPr="00B24801">
        <w:rPr>
          <w:iCs/>
          <w:lang w:val="fr-CA"/>
        </w:rPr>
        <w:t xml:space="preserve">92(10)c) de la </w:t>
      </w:r>
      <w:r w:rsidRPr="00B24801">
        <w:rPr>
          <w:i/>
          <w:iCs/>
          <w:lang w:val="fr-CA"/>
        </w:rPr>
        <w:t>Loi constitutionnelle de 1867</w:t>
      </w:r>
      <w:r w:rsidRPr="00B24801">
        <w:rPr>
          <w:iCs/>
          <w:lang w:val="fr-CA"/>
        </w:rPr>
        <w:t>.</w:t>
      </w:r>
      <w:r w:rsidRPr="00B24801">
        <w:rPr>
          <w:lang w:val="fr-CA"/>
        </w:rPr>
        <w:t xml:space="preserve"> Ils sont exploités par des sociétés qui sont des exploitants de silos à grains titulaires d’une licence en vertu de la </w:t>
      </w:r>
      <w:r w:rsidRPr="00B24801">
        <w:rPr>
          <w:i/>
          <w:lang w:val="fr-CA"/>
        </w:rPr>
        <w:t>Loi sur les grains du Canada</w:t>
      </w:r>
      <w:r w:rsidRPr="00B24801">
        <w:rPr>
          <w:lang w:val="fr-CA"/>
        </w:rPr>
        <w:t>.</w:t>
      </w:r>
      <w:r w:rsidRPr="00B24801">
        <w:rPr>
          <w:iCs/>
          <w:lang w:val="fr-CA"/>
        </w:rPr>
        <w:t xml:space="preserve"> Le silo à grains de Montréal, exploité par </w:t>
      </w:r>
      <w:proofErr w:type="spellStart"/>
      <w:r w:rsidRPr="00B24801">
        <w:rPr>
          <w:iCs/>
          <w:lang w:val="fr-CA"/>
        </w:rPr>
        <w:t>Viterra</w:t>
      </w:r>
      <w:proofErr w:type="spellEnd"/>
      <w:r w:rsidRPr="00B24801">
        <w:rPr>
          <w:iCs/>
          <w:lang w:val="fr-CA"/>
        </w:rPr>
        <w:t>, est le client le plus important de la Succursale</w:t>
      </w:r>
      <w:r w:rsidRPr="00B24801">
        <w:rPr>
          <w:lang w:val="fr-CA"/>
        </w:rPr>
        <w:t>.</w:t>
      </w:r>
    </w:p>
    <w:p w14:paraId="5A66B79E" w14:textId="77777777" w:rsidR="001162C6" w:rsidRPr="00B24801" w:rsidRDefault="00167D15">
      <w:pPr>
        <w:pStyle w:val="SCCNormalDoubleSpacing"/>
        <w:widowControl w:val="0"/>
        <w:spacing w:after="480"/>
        <w:rPr>
          <w:iCs/>
          <w:lang w:val="fr-CA"/>
        </w:rPr>
      </w:pPr>
      <w:r w:rsidRPr="00B24801">
        <w:rPr>
          <w:lang w:val="fr-CA"/>
        </w:rPr>
        <w:tab/>
        <w:t xml:space="preserve">Le Syndicat des travailleuses et travailleurs des industries manufacturières – CSN (« Syndicat ») a déposé auprès du Tribunal administratif du travail une requête en accréditation au titre du </w:t>
      </w:r>
      <w:r w:rsidRPr="00B24801">
        <w:rPr>
          <w:i/>
          <w:lang w:val="fr-CA"/>
        </w:rPr>
        <w:t>Code du travail</w:t>
      </w:r>
      <w:r w:rsidRPr="00B24801">
        <w:rPr>
          <w:lang w:val="fr-CA"/>
        </w:rPr>
        <w:t xml:space="preserve"> du Québec, dans le but de représenter les inspecteurs et agents de classement de la Succursale</w:t>
      </w:r>
      <w:r w:rsidRPr="00B24801">
        <w:rPr>
          <w:iCs/>
          <w:lang w:val="fr-CA"/>
        </w:rPr>
        <w:t>. Le Tribunal a rejeté la requête du Syndicat. Il a jugé que les relations de travail de la Succursale ne relevaient pas de la compétence provinciale : malgré l’absence de compétence fédérale directe du fait que SGS n’exploitait elle-même aucun des silos, les relations de travail de la Succursale étaient assujetties à la compétence fédérale dérivée. Le Tribunal a conclu que SGS avait établi, selon la prépondérance des probabilités, que la Division était fonctionnellement séparée du reste de ses opérations. Il a également conclu que la Division au Québec faisait partie intégrante des six silos à grains le long du fleuve Saint-Laurent, lesquels étaient tous des ouvrages fédéraux.</w:t>
      </w:r>
    </w:p>
    <w:p w14:paraId="319EFE58" w14:textId="77777777" w:rsidR="001162C6" w:rsidRPr="00B24801" w:rsidRDefault="00167D15">
      <w:pPr>
        <w:pStyle w:val="SCCNormalDoubleSpacing"/>
        <w:widowControl w:val="0"/>
        <w:spacing w:after="480"/>
        <w:rPr>
          <w:lang w:val="fr-CA"/>
        </w:rPr>
      </w:pPr>
      <w:r w:rsidRPr="00B24801">
        <w:rPr>
          <w:iCs/>
          <w:lang w:val="fr-CA"/>
        </w:rPr>
        <w:tab/>
        <w:t xml:space="preserve">La Cour supérieure a rejeté la demande de contrôle judiciaire du PGQ. À l’instar du Tribunal, elle a conclu que les relations de travail de la Succursale relevaient </w:t>
      </w:r>
      <w:r w:rsidRPr="00B24801">
        <w:rPr>
          <w:iCs/>
          <w:lang w:val="fr-CA"/>
        </w:rPr>
        <w:lastRenderedPageBreak/>
        <w:t>de la compétence fédérale dérivée. À son avis, les conclusions du Tribunal sur les fonctions et les opérations uniques de la Division au Québec étaient suffisantes pour conclure que la Succursale était fonctionnellement distincte du reste de SGS. La Cour d’appel a rejeté l’appel du PGQ. Elle</w:t>
      </w:r>
      <w:r w:rsidRPr="00B24801">
        <w:rPr>
          <w:lang w:val="fr-CA"/>
        </w:rPr>
        <w:t xml:space="preserve"> n’a décelé aucune erreur dans l’analyse du Tribunal sur la nature essentielle de la Succursale, et a confirmé que celle-ci pouvait être considérée séparément de SGS</w:t>
      </w:r>
      <w:r w:rsidRPr="00B24801">
        <w:rPr>
          <w:iCs/>
          <w:lang w:val="fr-CA"/>
        </w:rPr>
        <w:t xml:space="preserve">. La Cour d’appel a conclu que le critère relatif à la compétence fédérale directe était respecté parce que les services de la Succursale faisaient partie intégrante de ses clients qui exploitent des silos à grains. Subsidiairement, la Cour d’appel, tout comme la Cour supérieure, estimait que la Succursale relevait de la compétence fédérale dérivée. Selon elle, la preuve étayait la conclusion selon laquelle la Succursale était intégrée à </w:t>
      </w:r>
      <w:proofErr w:type="spellStart"/>
      <w:r w:rsidRPr="00B24801">
        <w:rPr>
          <w:iCs/>
          <w:lang w:val="fr-CA"/>
        </w:rPr>
        <w:t>Viterra</w:t>
      </w:r>
      <w:proofErr w:type="spellEnd"/>
      <w:r w:rsidRPr="00B24801">
        <w:rPr>
          <w:iCs/>
          <w:lang w:val="fr-CA"/>
        </w:rPr>
        <w:t>.</w:t>
      </w:r>
    </w:p>
    <w:p w14:paraId="3B90368F" w14:textId="77777777" w:rsidR="001162C6" w:rsidRPr="00B24801" w:rsidRDefault="00167D15">
      <w:pPr>
        <w:pStyle w:val="SCCNormalDoubleSpacing"/>
        <w:widowControl w:val="0"/>
        <w:spacing w:after="480"/>
        <w:rPr>
          <w:lang w:val="fr-CA"/>
        </w:rPr>
      </w:pPr>
      <w:r w:rsidRPr="00B24801">
        <w:rPr>
          <w:lang w:val="fr-CA"/>
        </w:rPr>
        <w:tab/>
      </w:r>
      <w:r w:rsidRPr="00B24801">
        <w:rPr>
          <w:i/>
          <w:iCs/>
          <w:lang w:val="fr-CA"/>
        </w:rPr>
        <w:t>Arrêt</w:t>
      </w:r>
      <w:r w:rsidRPr="00B24801">
        <w:rPr>
          <w:iCs/>
          <w:lang w:val="fr-CA"/>
        </w:rPr>
        <w:t xml:space="preserve"> (le juge en chef Wagner et les juges Côté, </w:t>
      </w:r>
      <w:proofErr w:type="spellStart"/>
      <w:r w:rsidRPr="00B24801">
        <w:rPr>
          <w:iCs/>
          <w:lang w:val="fr-CA"/>
        </w:rPr>
        <w:t>Kasirer</w:t>
      </w:r>
      <w:proofErr w:type="spellEnd"/>
      <w:r w:rsidRPr="00B24801">
        <w:rPr>
          <w:iCs/>
          <w:lang w:val="fr-CA"/>
        </w:rPr>
        <w:t xml:space="preserve"> et O’Bonsawin sont dissidents) :</w:t>
      </w:r>
      <w:r w:rsidRPr="00B24801">
        <w:rPr>
          <w:lang w:val="fr-CA"/>
        </w:rPr>
        <w:t xml:space="preserve"> Le pourvoi est rejeté.</w:t>
      </w:r>
    </w:p>
    <w:p w14:paraId="2689D575" w14:textId="77777777" w:rsidR="001162C6" w:rsidRPr="00B24801" w:rsidRDefault="00167D15">
      <w:pPr>
        <w:pStyle w:val="SCCNormalDoubleSpacing"/>
        <w:widowControl w:val="0"/>
        <w:spacing w:after="480"/>
        <w:rPr>
          <w:iCs/>
          <w:color w:val="000000"/>
          <w:szCs w:val="24"/>
          <w:lang w:val="fr-CA" w:eastAsia="en-US"/>
        </w:rPr>
      </w:pPr>
      <w:r w:rsidRPr="00B24801">
        <w:rPr>
          <w:lang w:val="fr-CA"/>
        </w:rPr>
        <w:tab/>
      </w:r>
      <w:r w:rsidRPr="00B24801">
        <w:rPr>
          <w:i/>
          <w:lang w:val="fr-CA"/>
        </w:rPr>
        <w:t xml:space="preserve">Les </w:t>
      </w:r>
      <w:r w:rsidRPr="00B24801">
        <w:rPr>
          <w:lang w:val="fr-CA"/>
        </w:rPr>
        <w:t xml:space="preserve">juges </w:t>
      </w:r>
      <w:proofErr w:type="spellStart"/>
      <w:r w:rsidRPr="00B24801">
        <w:rPr>
          <w:b/>
          <w:lang w:val="fr-CA"/>
        </w:rPr>
        <w:t>Karakatsanis</w:t>
      </w:r>
      <w:proofErr w:type="spellEnd"/>
      <w:r w:rsidRPr="00B24801">
        <w:rPr>
          <w:lang w:val="fr-CA"/>
        </w:rPr>
        <w:t xml:space="preserve">, Rowe, Martin, Jamal et Moreau : Le </w:t>
      </w:r>
      <w:bookmarkStart w:id="0" w:name="_Hlk233729900"/>
      <w:r w:rsidRPr="00B24801">
        <w:rPr>
          <w:i/>
          <w:iCs/>
          <w:lang w:val="fr-CA"/>
        </w:rPr>
        <w:t>Code du travail</w:t>
      </w:r>
      <w:bookmarkEnd w:id="0"/>
      <w:r w:rsidRPr="00B24801">
        <w:rPr>
          <w:lang w:val="fr-CA"/>
        </w:rPr>
        <w:t xml:space="preserve"> du Québec ne s’applique pas aux employés de la Succursale</w:t>
      </w:r>
      <w:r w:rsidRPr="00B24801">
        <w:rPr>
          <w:iCs/>
          <w:lang w:val="fr-CA"/>
        </w:rPr>
        <w:t xml:space="preserve"> composant l’unité de négociation, puisque ceux-ci relèvent de la compétence fédérale dérivée sur les travaux déclarés être pour l’avantage général du Canada, comme le prévoit l’al. 92(10)c) de la </w:t>
      </w:r>
      <w:r w:rsidRPr="00B24801">
        <w:rPr>
          <w:i/>
          <w:iCs/>
          <w:lang w:val="fr-CA"/>
        </w:rPr>
        <w:t>Loi constitutionnelle de 1867</w:t>
      </w:r>
      <w:r w:rsidRPr="00B24801">
        <w:rPr>
          <w:iCs/>
          <w:color w:val="000000"/>
          <w:szCs w:val="24"/>
          <w:lang w:val="fr-CA" w:eastAsia="en-US"/>
        </w:rPr>
        <w:t>. Les instances inférieures n’ont commis aucune erreur en statuant que le Tribunal n’avait pas compétence sur la requête en accréditation.</w:t>
      </w:r>
    </w:p>
    <w:p w14:paraId="10CEA440" w14:textId="77777777" w:rsidR="001162C6" w:rsidRPr="00B24801" w:rsidRDefault="00167D15">
      <w:pPr>
        <w:pStyle w:val="SCCNormalDoubleSpacing"/>
        <w:widowControl w:val="0"/>
        <w:spacing w:after="480"/>
        <w:rPr>
          <w:iCs/>
          <w:color w:val="000000"/>
          <w:szCs w:val="24"/>
          <w:lang w:val="fr-CA" w:eastAsia="en-US"/>
        </w:rPr>
      </w:pPr>
      <w:r w:rsidRPr="00B24801">
        <w:rPr>
          <w:iCs/>
          <w:color w:val="000000"/>
          <w:szCs w:val="24"/>
          <w:lang w:val="fr-CA" w:eastAsia="en-US"/>
        </w:rPr>
        <w:tab/>
        <w:t xml:space="preserve">Bien que les relations de travail soient présumées relever de la province, </w:t>
      </w:r>
      <w:r w:rsidRPr="00B24801">
        <w:rPr>
          <w:iCs/>
          <w:color w:val="000000"/>
          <w:szCs w:val="24"/>
          <w:lang w:val="fr-CA" w:eastAsia="en-US"/>
        </w:rPr>
        <w:lastRenderedPageBreak/>
        <w:t>cette présomption peut être réfutée dans des circonstances limitées</w:t>
      </w:r>
      <w:r w:rsidRPr="00B24801">
        <w:rPr>
          <w:iCs/>
          <w:color w:val="000000"/>
          <w:szCs w:val="24"/>
          <w:lang w:val="fr-CA" w:eastAsia="en-US" w:bidi="en-US"/>
        </w:rPr>
        <w:t xml:space="preserve">. Pour établir si la compétence fédérale </w:t>
      </w:r>
      <w:r w:rsidRPr="00B24801">
        <w:rPr>
          <w:iCs/>
          <w:lang w:val="fr-CA"/>
        </w:rPr>
        <w:t>s’applique</w:t>
      </w:r>
      <w:r w:rsidRPr="00B24801">
        <w:rPr>
          <w:iCs/>
          <w:color w:val="000000"/>
          <w:szCs w:val="24"/>
          <w:lang w:val="fr-CA" w:eastAsia="en-US" w:bidi="en-US"/>
        </w:rPr>
        <w:t>, le tribunal doit d’abord déterminer l’entité en cause et évaluer la nature fonctionnelle essentielle de celle-ci</w:t>
      </w:r>
      <w:r w:rsidRPr="00B24801">
        <w:rPr>
          <w:iCs/>
          <w:color w:val="000000"/>
          <w:szCs w:val="24"/>
          <w:lang w:val="fr-CA" w:eastAsia="en-US"/>
        </w:rPr>
        <w:t>. Dans le cadre de cette analyse, la cour doit identifier un ouvrage ou une entreprise de nature fédérale auquel se rapporte le travail de l’entité, à défaut de quoi il n’y a pas de compétence fédérale. Les ouvrages ou travaux (« </w:t>
      </w:r>
      <w:proofErr w:type="spellStart"/>
      <w:r w:rsidRPr="00B24801">
        <w:rPr>
          <w:i/>
          <w:iCs/>
          <w:color w:val="000000"/>
          <w:szCs w:val="24"/>
          <w:lang w:val="fr-CA" w:eastAsia="en-US"/>
        </w:rPr>
        <w:t>works</w:t>
      </w:r>
      <w:proofErr w:type="spellEnd"/>
      <w:r w:rsidRPr="00B24801">
        <w:rPr>
          <w:iCs/>
          <w:color w:val="000000"/>
          <w:szCs w:val="24"/>
          <w:lang w:val="fr-CA" w:eastAsia="en-US"/>
        </w:rPr>
        <w:t xml:space="preserve"> » en anglais) sont distincts des entreprises — ce sont des installations physiques où ont lieu les activités de l’entreprise. Si l’entité est une unité au sein d’une organisation commerciale, et non une </w:t>
      </w:r>
      <w:bookmarkStart w:id="1" w:name="_Hlk240450404"/>
      <w:r w:rsidRPr="00B24801">
        <w:rPr>
          <w:iCs/>
          <w:color w:val="000000"/>
          <w:szCs w:val="24"/>
          <w:lang w:val="fr-CA" w:eastAsia="en-US"/>
        </w:rPr>
        <w:t xml:space="preserve">organisation </w:t>
      </w:r>
      <w:bookmarkEnd w:id="1"/>
      <w:r w:rsidRPr="00B24801">
        <w:rPr>
          <w:iCs/>
          <w:color w:val="000000"/>
          <w:szCs w:val="24"/>
          <w:lang w:val="fr-CA" w:eastAsia="en-US"/>
        </w:rPr>
        <w:t>entière, le tribunal doit être convaincu que l’unité est fonctionnellement distincte des autres unités au sein de l’organisation.</w:t>
      </w:r>
      <w:r w:rsidRPr="00B24801">
        <w:rPr>
          <w:szCs w:val="24"/>
          <w:lang w:val="fr-CA" w:eastAsia="en-US" w:bidi="en-US"/>
        </w:rPr>
        <w:t xml:space="preserve"> Une entreprise indivisible et intégrée ne doit pas être artificiellement scindée aux fins de classification constitutionnelle</w:t>
      </w:r>
      <w:r w:rsidRPr="00B24801">
        <w:rPr>
          <w:iCs/>
          <w:color w:val="000000"/>
          <w:szCs w:val="24"/>
          <w:lang w:val="fr-CA" w:eastAsia="en-US" w:bidi="en-US"/>
        </w:rPr>
        <w:t>.</w:t>
      </w:r>
      <w:r w:rsidRPr="00B24801">
        <w:rPr>
          <w:rFonts w:eastAsiaTheme="minorHAnsi"/>
          <w:szCs w:val="22"/>
          <w:lang w:val="fr-CA" w:eastAsia="en-US" w:bidi="en-US"/>
        </w:rPr>
        <w:t xml:space="preserve"> Il n’y a pas de critère établi servant à déterminer la spécificité fonctionnelle d’une unité. </w:t>
      </w:r>
      <w:r w:rsidR="00F912BA" w:rsidRPr="00B24801">
        <w:rPr>
          <w:rFonts w:eastAsiaTheme="minorHAnsi"/>
          <w:szCs w:val="22"/>
          <w:lang w:val="fr-CA" w:eastAsia="en-US" w:bidi="en-US"/>
        </w:rPr>
        <w:t xml:space="preserve">Il s’agit plutôt d’une </w:t>
      </w:r>
      <w:r w:rsidRPr="00B24801">
        <w:rPr>
          <w:rFonts w:eastAsiaTheme="minorHAnsi"/>
          <w:szCs w:val="22"/>
          <w:lang w:val="fr-CA" w:eastAsia="en-US" w:bidi="en-US"/>
        </w:rPr>
        <w:t>analyse souple et axée sur la nature dominante d’une unité ainsi que sur la question de savoir si cette nature se distingue suffisamment de celle d’autres unités dans l’organisation</w:t>
      </w:r>
      <w:r w:rsidRPr="00B24801">
        <w:rPr>
          <w:iCs/>
          <w:color w:val="000000"/>
          <w:szCs w:val="24"/>
          <w:lang w:val="fr-CA" w:eastAsia="en-US" w:bidi="en-US"/>
        </w:rPr>
        <w:t>.</w:t>
      </w:r>
      <w:r w:rsidRPr="00B24801">
        <w:rPr>
          <w:iCs/>
          <w:color w:val="000000"/>
          <w:szCs w:val="24"/>
          <w:lang w:val="fr-CA" w:eastAsia="en-US"/>
        </w:rPr>
        <w:t xml:space="preserve"> Surtout, la structure de la société ou la situation géographique ne peuvent, à elles seules, déterminer la classification constitutionnelle. L’accent devrait plutôt être mis sur les services que fournit l’unité</w:t>
      </w:r>
      <w:r w:rsidRPr="00B24801">
        <w:rPr>
          <w:iCs/>
          <w:color w:val="000000"/>
          <w:szCs w:val="24"/>
          <w:lang w:val="fr-CA" w:eastAsia="en-US" w:bidi="en-US"/>
        </w:rPr>
        <w:t>. Les facteurs non exhaustifs suivants sont susceptibles d’aider un juge dans son appréciation de la spécificité fonctionnelle d’une unité : (i) les tâches exécutées par les employés dans l’unité et la façon dont elles diffèrent de celles exécutées par les employés dans d’autres unités de leur organisation; (ii) la relation et le nombre de contacts entre l’unité et les autres unités de l’organisation; (iii) le contexte administratif/opérationnel et l’emplacement de l’unité; et (iv) le rôle et la fonction de l’unité au sein de l’organisation dans son ensemble.</w:t>
      </w:r>
    </w:p>
    <w:p w14:paraId="627FEE4F" w14:textId="77777777" w:rsidR="001162C6" w:rsidRPr="00B24801" w:rsidRDefault="00167D15">
      <w:pPr>
        <w:pStyle w:val="SCCNormalDoubleSpacing"/>
        <w:widowControl w:val="0"/>
        <w:spacing w:after="480"/>
        <w:rPr>
          <w:iCs/>
          <w:color w:val="000000"/>
          <w:szCs w:val="24"/>
          <w:lang w:val="fr-CA" w:eastAsia="en-US"/>
        </w:rPr>
      </w:pPr>
      <w:r w:rsidRPr="00B24801">
        <w:rPr>
          <w:iCs/>
          <w:color w:val="000000"/>
          <w:szCs w:val="24"/>
          <w:lang w:val="fr-CA" w:eastAsia="en-US"/>
        </w:rPr>
        <w:lastRenderedPageBreak/>
        <w:tab/>
        <w:t xml:space="preserve">Ensuite, le tribunal doit se demander si les critères relatifs à la compétence fédérale </w:t>
      </w:r>
      <w:r w:rsidRPr="00B24801">
        <w:rPr>
          <w:iCs/>
          <w:lang w:val="fr-CA"/>
        </w:rPr>
        <w:t>directe</w:t>
      </w:r>
      <w:r w:rsidRPr="00B24801">
        <w:rPr>
          <w:iCs/>
          <w:color w:val="000000"/>
          <w:szCs w:val="24"/>
          <w:lang w:val="fr-CA" w:eastAsia="en-US"/>
        </w:rPr>
        <w:t xml:space="preserve"> ou à la compétence fédérale dérivée s’appliquent. La compétence directe s’applique si l’entité possède, gère, contrôle ou exploite autrement un ouvrage ou une entreprise de nature fédérale. Elle couvre un large éventail d’employés qui soutiennent la gestion et l’exploitation de l’ouvrage ou l’entreprise de nature fédérale</w:t>
      </w:r>
      <w:r w:rsidRPr="00B24801">
        <w:rPr>
          <w:iCs/>
          <w:color w:val="000000"/>
          <w:szCs w:val="24"/>
          <w:lang w:val="fr-CA" w:eastAsia="en-US" w:bidi="en-US"/>
        </w:rPr>
        <w:t xml:space="preserve">. La compétence dérivée s’applique si l’entité est une tierce partie qui fournit des services qui sont </w:t>
      </w:r>
      <w:bookmarkStart w:id="2" w:name="_Hlk240630202"/>
      <w:r w:rsidRPr="00B24801">
        <w:rPr>
          <w:iCs/>
          <w:color w:val="000000"/>
          <w:szCs w:val="24"/>
          <w:lang w:val="fr-CA" w:eastAsia="en-US" w:bidi="en-US"/>
        </w:rPr>
        <w:t>fondamentaux, essentiels ou vitaux pour un ou plusieurs ouvrages ou entreprises de nature fédérale,</w:t>
      </w:r>
      <w:bookmarkEnd w:id="2"/>
      <w:r w:rsidRPr="00B24801">
        <w:rPr>
          <w:iCs/>
          <w:color w:val="000000"/>
          <w:szCs w:val="24"/>
          <w:lang w:val="fr-CA" w:eastAsia="en-US" w:bidi="en-US"/>
        </w:rPr>
        <w:t xml:space="preserve"> et que ces services sont importants pour l’entité même</w:t>
      </w:r>
      <w:r w:rsidRPr="00B24801">
        <w:rPr>
          <w:iCs/>
          <w:color w:val="000000"/>
          <w:szCs w:val="24"/>
          <w:lang w:val="fr-CA" w:eastAsia="en-US"/>
        </w:rPr>
        <w:t xml:space="preserve">. La cour doit examiner la relation tant de la perspective de l’entité que de celle de l’ouvrage ou de l’entreprise de nature fédérale. Le critère servant à déterminer si les services d’une entité sont </w:t>
      </w:r>
      <w:bookmarkStart w:id="3" w:name="_Hlk240550236"/>
      <w:r w:rsidRPr="00B24801">
        <w:rPr>
          <w:iCs/>
          <w:color w:val="000000"/>
          <w:szCs w:val="24"/>
          <w:lang w:val="fr-CA" w:eastAsia="en-US"/>
        </w:rPr>
        <w:t xml:space="preserve">fondamentaux, essentiels ou vitaux </w:t>
      </w:r>
      <w:bookmarkEnd w:id="3"/>
      <w:r w:rsidRPr="00B24801">
        <w:rPr>
          <w:iCs/>
          <w:color w:val="000000"/>
          <w:szCs w:val="24"/>
          <w:lang w:val="fr-CA" w:eastAsia="en-US"/>
        </w:rPr>
        <w:t xml:space="preserve">pour l’activité principale de l’ouvrage ou l’entreprise de nature fédérale est souple, mais les facteurs peuvent comprendre : l’existence d’un lien matériel et opérationnel étroit entre l’entité et l’entreprise fédérale; l’existence d’un lien </w:t>
      </w:r>
      <w:proofErr w:type="spellStart"/>
      <w:r w:rsidRPr="00B24801">
        <w:rPr>
          <w:iCs/>
          <w:color w:val="000000"/>
          <w:szCs w:val="24"/>
          <w:lang w:val="fr-CA" w:eastAsia="en-US"/>
        </w:rPr>
        <w:t>intersociétés</w:t>
      </w:r>
      <w:proofErr w:type="spellEnd"/>
      <w:r w:rsidRPr="00B24801">
        <w:rPr>
          <w:iCs/>
          <w:color w:val="000000"/>
          <w:szCs w:val="24"/>
          <w:lang w:val="fr-CA" w:eastAsia="en-US"/>
        </w:rPr>
        <w:t xml:space="preserve"> entre l’entité et l’entreprise fédérale; et l’importance du travail accompli par les employés de l’entité pour l’entreprise fédérale. L’objectif est d’établir un lien entre l’entité et un ouvrage ou une entreprise de nature fédérale qui soit étroit, vital, véritablement accessoire ou nécessairement accessoire. L’intégration, pour les besoins de la compétence dérivée, exige qu’une entreprise fédérale dépende des fonctions d’une entité en particulier, de sorte que l’entreprise fédérale ne puisse exercer ses activités sans elle. Cela exige une relation permanente, ou à tout le moins continue, pour faire en sorte que la Constitution soit toujours appliquée de façon continue et régulière; une relation exceptionnelle ou temporaire ne suffira pas. La cour doit également examiner, du point de vue de l’entité, </w:t>
      </w:r>
      <w:r w:rsidRPr="00B24801">
        <w:rPr>
          <w:iCs/>
          <w:color w:val="000000"/>
          <w:szCs w:val="24"/>
          <w:lang w:val="fr-CA" w:eastAsia="en-US"/>
        </w:rPr>
        <w:lastRenderedPageBreak/>
        <w:t>l’importance de l’ouvrage pour l’entité elle-même : la question est de savoir si les services fournis à un ou plusieurs ouvrages ou entreprises de nature fédérale constituent la totalité ou la majeure partie des activités de l’entité connexe. L’importance constitue un seuil élevé qu’il est crucial d’atteindre afin d’éviter qu’une entité qui œuvre également dans le cadre d’entreprises provinciales soit qualifiée, à tort, comme relevant de la compétence fédérale. Il n’y a pas d’exigence selon laquelle une entité doit être intégrée à un ouvrage ou une entreprise unique; l’analyse peut porter sur un ouvrage ou une entreprise de nature fédérale en particulier, ou sur un groupe d’ouvrages ou d’entreprises de cette nature, tant que la preuve est suffisante pour établir l’intégration.</w:t>
      </w:r>
    </w:p>
    <w:p w14:paraId="60E63C57" w14:textId="77777777" w:rsidR="001162C6" w:rsidRPr="00B24801" w:rsidRDefault="00167D15">
      <w:pPr>
        <w:pStyle w:val="SCCNormalDoubleSpacing"/>
        <w:widowControl w:val="0"/>
        <w:spacing w:after="480"/>
        <w:rPr>
          <w:iCs/>
          <w:color w:val="000000"/>
          <w:sz w:val="22"/>
          <w:szCs w:val="24"/>
          <w:lang w:val="fr-CA" w:eastAsia="en-US"/>
        </w:rPr>
      </w:pPr>
      <w:r w:rsidRPr="00B24801">
        <w:rPr>
          <w:iCs/>
          <w:color w:val="000000"/>
          <w:szCs w:val="24"/>
          <w:lang w:val="fr-CA" w:eastAsia="en-US"/>
        </w:rPr>
        <w:tab/>
        <w:t>Le cadre servant à établir la compétence fédérale en matière de travail repose sur trois fondements</w:t>
      </w:r>
      <w:r w:rsidRPr="00B24801">
        <w:rPr>
          <w:iCs/>
          <w:color w:val="000000"/>
          <w:szCs w:val="24"/>
          <w:lang w:val="fr-CA" w:eastAsia="en-US" w:bidi="en-US"/>
        </w:rPr>
        <w:t xml:space="preserve">. </w:t>
      </w:r>
      <w:r w:rsidRPr="00B24801">
        <w:rPr>
          <w:iCs/>
          <w:color w:val="000000"/>
          <w:szCs w:val="24"/>
          <w:lang w:val="fr-CA" w:eastAsia="en-US"/>
        </w:rPr>
        <w:t xml:space="preserve">Premièrement, le gouvernement fédéral doit avoir la compétence analogue </w:t>
      </w:r>
      <w:r w:rsidRPr="00B24801">
        <w:rPr>
          <w:iCs/>
          <w:lang w:val="fr-CA"/>
        </w:rPr>
        <w:t>pour</w:t>
      </w:r>
      <w:r w:rsidRPr="00B24801">
        <w:rPr>
          <w:iCs/>
          <w:color w:val="000000"/>
          <w:szCs w:val="24"/>
          <w:lang w:val="fr-CA" w:eastAsia="en-US"/>
        </w:rPr>
        <w:t xml:space="preserve"> réglementer les relations de travail afin de conserver un contrôle effectif sur les opérations des ouvrages ou des entreprises de nature fédérale. Deuxièmement, en vue du respect du juste équilibre entre les pouvoirs législatifs établi dans la Constitution, la compétence fédérale ne doit pas empiéter sur les matières provinciales. Troisièmement, les groupes d’employés travaillant pour la même organisation ne devraient pas être divisés de manière artificielle et assujettis à des régimes de relations de travail différents, à moins que leurs fonctions soient divisibles</w:t>
      </w:r>
      <w:r w:rsidRPr="00B24801">
        <w:rPr>
          <w:iCs/>
          <w:color w:val="000000"/>
          <w:szCs w:val="24"/>
          <w:lang w:val="fr-CA" w:eastAsia="en-US" w:bidi="en-US"/>
        </w:rPr>
        <w:t>.</w:t>
      </w:r>
      <w:r w:rsidRPr="00B24801">
        <w:rPr>
          <w:iCs/>
          <w:color w:val="000000"/>
          <w:szCs w:val="24"/>
          <w:lang w:val="fr-CA" w:eastAsia="en-US"/>
        </w:rPr>
        <w:t xml:space="preserve"> </w:t>
      </w:r>
      <w:r w:rsidRPr="00B24801">
        <w:rPr>
          <w:bCs/>
          <w:iCs/>
          <w:color w:val="000000"/>
          <w:szCs w:val="24"/>
          <w:lang w:val="fr-CA" w:eastAsia="en-US"/>
        </w:rPr>
        <w:t xml:space="preserve">La </w:t>
      </w:r>
      <w:r w:rsidRPr="00B24801">
        <w:rPr>
          <w:iCs/>
          <w:color w:val="000000"/>
          <w:szCs w:val="24"/>
          <w:lang w:val="fr-CA" w:eastAsia="en-US"/>
        </w:rPr>
        <w:t xml:space="preserve">compétence fédérale en matière de travail est exceptionnelle et devrait être abordée de façon restrictive. Cependant, l’analyse fonctionnelle servant à établir la compétence fédérale sur les relations de travail demeure souple et fondée sur le contexte. La partie qui invoque la compétence fédérale doit établir, sur le fondement de la preuve, qu’il </w:t>
      </w:r>
      <w:r w:rsidRPr="00B24801">
        <w:rPr>
          <w:iCs/>
          <w:color w:val="000000"/>
          <w:szCs w:val="24"/>
          <w:lang w:val="fr-CA" w:eastAsia="en-US"/>
        </w:rPr>
        <w:lastRenderedPageBreak/>
        <w:t>existe un contrôle direct ou un lien fonctionnel et opérationnel suffisamment étroit avec un ou plusieurs ouvrages ou entreprises de nature fédérale identifiables.</w:t>
      </w:r>
    </w:p>
    <w:p w14:paraId="7BA5C82B" w14:textId="77777777" w:rsidR="001162C6" w:rsidRPr="00B24801" w:rsidRDefault="00167D15">
      <w:pPr>
        <w:pStyle w:val="SCCNormalDoubleSpacing"/>
        <w:widowControl w:val="0"/>
        <w:spacing w:after="480"/>
        <w:rPr>
          <w:iCs/>
          <w:color w:val="000000"/>
          <w:szCs w:val="24"/>
          <w:lang w:val="fr-CA" w:eastAsia="en-US"/>
        </w:rPr>
      </w:pPr>
      <w:r w:rsidRPr="00B24801">
        <w:rPr>
          <w:iCs/>
          <w:color w:val="000000"/>
          <w:szCs w:val="24"/>
          <w:lang w:val="fr-CA" w:eastAsia="en-US"/>
        </w:rPr>
        <w:tab/>
        <w:t xml:space="preserve">Lors du contrôle judiciaire de la décision d’un tribunal, la cour doit appliquer la norme de la décision correcte aux questions constitutionnelles relatives au partage des </w:t>
      </w:r>
      <w:r w:rsidRPr="00B24801">
        <w:rPr>
          <w:iCs/>
          <w:lang w:val="fr-CA"/>
        </w:rPr>
        <w:t>compétences</w:t>
      </w:r>
      <w:r w:rsidRPr="00B24801">
        <w:rPr>
          <w:iCs/>
          <w:color w:val="000000"/>
          <w:szCs w:val="24"/>
          <w:lang w:val="fr-CA" w:eastAsia="en-US" w:bidi="en-US"/>
        </w:rPr>
        <w:t>. Bien qu’il convienne de faire preuve d’une grande déférence à l’égard de conclusions purement factuelles, la question de savoir si la Succursale en l’espèce peut être considérée comme étant une unité fonctionnellement distincte au sein de la Division et celle de savoir si la Succursale relève de la compétence fédérale directe ou dérivée sont susceptibles de contrôle selon la norme de la décision correcte.</w:t>
      </w:r>
      <w:r w:rsidRPr="00B24801">
        <w:rPr>
          <w:iCs/>
          <w:color w:val="000000"/>
          <w:szCs w:val="24"/>
          <w:lang w:val="fr-CA" w:eastAsia="en-US"/>
        </w:rPr>
        <w:t xml:space="preserve"> </w:t>
      </w:r>
    </w:p>
    <w:p w14:paraId="21FD0F69" w14:textId="77777777" w:rsidR="001162C6" w:rsidRPr="00B24801" w:rsidRDefault="00167D15">
      <w:pPr>
        <w:pStyle w:val="SCCNormalDoubleSpacing"/>
        <w:widowControl w:val="0"/>
        <w:spacing w:after="480"/>
        <w:rPr>
          <w:iCs/>
          <w:color w:val="000000"/>
          <w:szCs w:val="24"/>
          <w:lang w:val="fr-CA" w:eastAsia="en-US"/>
        </w:rPr>
      </w:pPr>
      <w:r w:rsidRPr="00B24801">
        <w:rPr>
          <w:iCs/>
          <w:color w:val="000000"/>
          <w:szCs w:val="24"/>
          <w:lang w:val="fr-CA" w:eastAsia="en-US"/>
        </w:rPr>
        <w:tab/>
        <w:t xml:space="preserve">Les relations de travail de la Succursale relèvent de la compétence fédérale. La Succursale constitue une unité fonctionnellement distincte au sein de SGS, car elle est en </w:t>
      </w:r>
      <w:r w:rsidRPr="00B24801">
        <w:rPr>
          <w:iCs/>
          <w:lang w:val="fr-CA"/>
        </w:rPr>
        <w:t>grande</w:t>
      </w:r>
      <w:r w:rsidRPr="00B24801">
        <w:rPr>
          <w:iCs/>
          <w:color w:val="000000"/>
          <w:szCs w:val="24"/>
          <w:lang w:val="fr-CA" w:eastAsia="en-US"/>
        </w:rPr>
        <w:t xml:space="preserve"> partie gérée de manière indépendante et ses opérations et ses clients sont distincts des autres succursales de la Division. Les 14 inspecteurs et agents de classement de la Succursale travaillent principalement pour </w:t>
      </w:r>
      <w:bookmarkStart w:id="4" w:name="_Hlk235434445"/>
      <w:r w:rsidRPr="00B24801">
        <w:rPr>
          <w:iCs/>
          <w:color w:val="000000"/>
          <w:szCs w:val="24"/>
          <w:lang w:val="fr-CA" w:eastAsia="en-US"/>
        </w:rPr>
        <w:t>six silos à grains</w:t>
      </w:r>
      <w:bookmarkEnd w:id="4"/>
      <w:r w:rsidRPr="00B24801">
        <w:rPr>
          <w:iCs/>
          <w:color w:val="000000"/>
          <w:szCs w:val="24"/>
          <w:lang w:val="fr-CA" w:eastAsia="en-US"/>
        </w:rPr>
        <w:t xml:space="preserve">. Comme ils sont des employés d’un tiers qui n’exploite pas l’ouvrage ou l’entreprise de nature fédérale même, la compétence directe ne s’applique pas. Leurs relations de travail relèvent plutôt de la compétence dérivée. Contrairement au reste de la société, la Succursale se consacre à l’inspection des grains au Québec, et ces fonctions font partie intégrante de </w:t>
      </w:r>
      <w:proofErr w:type="spellStart"/>
      <w:r w:rsidRPr="00B24801">
        <w:rPr>
          <w:iCs/>
          <w:color w:val="000000"/>
          <w:szCs w:val="24"/>
          <w:lang w:val="fr-CA" w:eastAsia="en-US"/>
        </w:rPr>
        <w:t>Viterra</w:t>
      </w:r>
      <w:proofErr w:type="spellEnd"/>
      <w:r w:rsidRPr="00B24801">
        <w:rPr>
          <w:iCs/>
          <w:color w:val="000000"/>
          <w:szCs w:val="24"/>
          <w:lang w:val="fr-CA" w:eastAsia="en-US"/>
        </w:rPr>
        <w:t xml:space="preserve"> ainsi que des cinq autres silos à grains qui longent le fleuve Saint-Laurent. Ce travail est aussi important pour la Succursale elle-même : 90 pour 100 des services de la Succursale sont consacrés à ces ouvrages de nature fédérale.</w:t>
      </w:r>
    </w:p>
    <w:p w14:paraId="0444F74E" w14:textId="77777777" w:rsidR="001162C6" w:rsidRPr="00B24801" w:rsidRDefault="00167D15">
      <w:pPr>
        <w:pStyle w:val="SCCNormalDoubleSpacing"/>
        <w:widowControl w:val="0"/>
        <w:spacing w:after="480"/>
        <w:rPr>
          <w:lang w:val="fr-CA"/>
        </w:rPr>
      </w:pPr>
      <w:r w:rsidRPr="00B24801">
        <w:rPr>
          <w:i/>
          <w:lang w:val="fr-CA"/>
        </w:rPr>
        <w:lastRenderedPageBreak/>
        <w:tab/>
        <w:t xml:space="preserve">Le </w:t>
      </w:r>
      <w:r w:rsidRPr="00B24801">
        <w:rPr>
          <w:lang w:val="fr-CA"/>
        </w:rPr>
        <w:t xml:space="preserve">juge en chef </w:t>
      </w:r>
      <w:r w:rsidRPr="00B24801">
        <w:rPr>
          <w:color w:val="000000"/>
          <w:lang w:val="fr-CA"/>
        </w:rPr>
        <w:t xml:space="preserve">Wagner et les juges Côté, </w:t>
      </w:r>
      <w:proofErr w:type="spellStart"/>
      <w:r w:rsidRPr="00B24801">
        <w:rPr>
          <w:b/>
          <w:bCs/>
          <w:color w:val="000000"/>
          <w:lang w:val="fr-CA"/>
        </w:rPr>
        <w:t>Kasirer</w:t>
      </w:r>
      <w:proofErr w:type="spellEnd"/>
      <w:r w:rsidRPr="00B24801">
        <w:rPr>
          <w:color w:val="000000"/>
          <w:lang w:val="fr-CA"/>
        </w:rPr>
        <w:t xml:space="preserve"> et </w:t>
      </w:r>
      <w:r w:rsidRPr="00B24801">
        <w:rPr>
          <w:bCs/>
          <w:color w:val="000000"/>
          <w:lang w:val="fr-CA"/>
        </w:rPr>
        <w:t>O’Bonsawin</w:t>
      </w:r>
      <w:r w:rsidRPr="00B24801">
        <w:rPr>
          <w:color w:val="000000"/>
          <w:lang w:val="fr-CA"/>
        </w:rPr>
        <w:t xml:space="preserve"> (dissidents) : Il convient d’accueillir </w:t>
      </w:r>
      <w:r w:rsidRPr="00B24801">
        <w:rPr>
          <w:lang w:val="fr-CA"/>
        </w:rPr>
        <w:t xml:space="preserve">le pourvoi, d’annuler les jugements des cours d’instance inférieure et de casser la décision du Tribunal. </w:t>
      </w:r>
      <w:r w:rsidRPr="00B24801">
        <w:rPr>
          <w:color w:val="000000"/>
          <w:lang w:val="fr-CA"/>
        </w:rPr>
        <w:t xml:space="preserve">Il y a lieu </w:t>
      </w:r>
      <w:r w:rsidRPr="00B24801">
        <w:rPr>
          <w:lang w:val="fr-CA"/>
        </w:rPr>
        <w:t xml:space="preserve">d’accueillir la demande de contrôle judiciaire, et de déclarer que le </w:t>
      </w:r>
      <w:r w:rsidRPr="00B24801">
        <w:rPr>
          <w:i/>
          <w:lang w:val="fr-CA"/>
        </w:rPr>
        <w:t>Code du travail</w:t>
      </w:r>
      <w:r w:rsidRPr="00B24801">
        <w:rPr>
          <w:lang w:val="fr-CA"/>
        </w:rPr>
        <w:t xml:space="preserve"> du Québec s’applique à la requête en accréditation. La déclaration qui figure au </w:t>
      </w:r>
      <w:proofErr w:type="spellStart"/>
      <w:r w:rsidRPr="00B24801">
        <w:rPr>
          <w:lang w:val="fr-CA"/>
        </w:rPr>
        <w:t>par</w:t>
      </w:r>
      <w:proofErr w:type="spellEnd"/>
      <w:r w:rsidRPr="00B24801">
        <w:rPr>
          <w:lang w:val="fr-CA"/>
        </w:rPr>
        <w:t xml:space="preserve">. 55(1) de la </w:t>
      </w:r>
      <w:r w:rsidRPr="00B24801">
        <w:rPr>
          <w:i/>
          <w:lang w:val="fr-CA"/>
        </w:rPr>
        <w:t xml:space="preserve">Loi sur les grains du Canada </w:t>
      </w:r>
      <w:r w:rsidRPr="00B24801">
        <w:rPr>
          <w:lang w:val="fr-CA"/>
        </w:rPr>
        <w:t xml:space="preserve">ne confère pas au Parlement une compétence, qu’elle soit directe ou dérivée, sur les relations de travail de SGS en ce qui a trait aux employés chargés de l’inspection des grains. </w:t>
      </w:r>
    </w:p>
    <w:p w14:paraId="64D01BBD" w14:textId="77777777" w:rsidR="001162C6" w:rsidRPr="00B24801" w:rsidRDefault="00167D15">
      <w:pPr>
        <w:pStyle w:val="SCCNormalDoubleSpacing"/>
        <w:widowControl w:val="0"/>
        <w:spacing w:after="480"/>
        <w:rPr>
          <w:lang w:val="fr-CA"/>
        </w:rPr>
      </w:pPr>
      <w:r w:rsidRPr="00B24801">
        <w:rPr>
          <w:lang w:val="fr-CA"/>
        </w:rPr>
        <w:tab/>
        <w:t xml:space="preserve">Le pouvoir de légiférer sur les relations de travail est présumé appartenir exclusivement aux provinces, selon la compétence législative en matière de propriété et de droits civils au titre du par. 92(13) de la </w:t>
      </w:r>
      <w:r w:rsidRPr="00B24801">
        <w:rPr>
          <w:i/>
          <w:lang w:val="fr-CA"/>
        </w:rPr>
        <w:t>Loi constitutionnelle de 1867</w:t>
      </w:r>
      <w:r w:rsidRPr="00B24801">
        <w:rPr>
          <w:lang w:val="fr-CA"/>
        </w:rPr>
        <w:t xml:space="preserve">. </w:t>
      </w:r>
      <w:r w:rsidRPr="00B24801">
        <w:rPr>
          <w:color w:val="000000"/>
          <w:lang w:val="fr-CA"/>
        </w:rPr>
        <w:t xml:space="preserve">La </w:t>
      </w:r>
      <w:r w:rsidRPr="00B24801">
        <w:rPr>
          <w:lang w:val="fr-CA"/>
        </w:rPr>
        <w:t xml:space="preserve">règle fait l’objet d’exceptions, qui découlent du pouvoir déclaratoire du Parlement d’établir la compétence fédérale, notamment sur les relations de travail à l’égard de certains chefs de compétence fédérale énumérés dans la </w:t>
      </w:r>
      <w:r w:rsidRPr="00B24801">
        <w:rPr>
          <w:i/>
          <w:iCs/>
          <w:lang w:val="fr-CA"/>
        </w:rPr>
        <w:t>Loi constitutionnelle de 1867</w:t>
      </w:r>
      <w:r w:rsidRPr="00B24801">
        <w:rPr>
          <w:lang w:val="fr-CA"/>
        </w:rPr>
        <w:t xml:space="preserve">. Le pouvoir déclaratoire est prévu à l’al. 92(10)c), qui confère au Parlement le pouvoir de modifier de son propre chef la sphère de sa compétence législative en déclarant que certains </w:t>
      </w:r>
      <w:r w:rsidR="00F912BA" w:rsidRPr="00B24801">
        <w:rPr>
          <w:lang w:val="fr-CA"/>
        </w:rPr>
        <w:t xml:space="preserve">travaux (ou </w:t>
      </w:r>
      <w:r w:rsidRPr="00B24801">
        <w:rPr>
          <w:lang w:val="fr-CA"/>
        </w:rPr>
        <w:t>ouvrages</w:t>
      </w:r>
      <w:r w:rsidR="00F912BA" w:rsidRPr="00B24801">
        <w:rPr>
          <w:lang w:val="fr-CA"/>
        </w:rPr>
        <w:t>)</w:t>
      </w:r>
      <w:r w:rsidRPr="00B24801">
        <w:rPr>
          <w:lang w:val="fr-CA"/>
        </w:rPr>
        <w:t xml:space="preserve">, alors qu’ils sont entièrement situés dans une province, sont à l’« avantage général du Canada ». Le pouvoir déclaratoire fédéral est donc considéré comme l’exception à la compétence provinciale sur les « travaux et entreprises d’une nature locale » au sens du par. 92(10). Ce pouvoir limité ne peut s’appliquer qu’à l’égard de « travaux », qui s’entendent de choses matérielles, et non à l’égard d’« entreprises », qui sont des arrangements ou consistent en un ensemble </w:t>
      </w:r>
      <w:r w:rsidRPr="00B24801">
        <w:rPr>
          <w:lang w:val="fr-CA"/>
        </w:rPr>
        <w:lastRenderedPageBreak/>
        <w:t xml:space="preserve">organisé de moyens destinés à la poursuite d’activités précises. </w:t>
      </w:r>
    </w:p>
    <w:p w14:paraId="1EC5088A" w14:textId="77777777" w:rsidR="001162C6" w:rsidRPr="00B24801" w:rsidRDefault="00167D15">
      <w:pPr>
        <w:pStyle w:val="SCCNormalDoubleSpacing"/>
        <w:widowControl w:val="0"/>
        <w:spacing w:after="480"/>
        <w:rPr>
          <w:lang w:val="fr-CA"/>
        </w:rPr>
      </w:pPr>
      <w:r w:rsidRPr="00B24801">
        <w:rPr>
          <w:color w:val="000000"/>
          <w:lang w:val="fr-CA"/>
        </w:rPr>
        <w:tab/>
      </w:r>
      <w:r w:rsidRPr="00B24801">
        <w:rPr>
          <w:lang w:val="fr-CA"/>
        </w:rPr>
        <w:t xml:space="preserve">Le terme « travaux », à l’al. 92(10)c), agit comme rempart contre un élargissement du pouvoir fédéral, et il ne devrait pas recevoir une interprétation qui vient miner le principe du fédéralisme. La portée de la notion </w:t>
      </w:r>
      <w:r w:rsidR="00F912BA" w:rsidRPr="00B24801">
        <w:rPr>
          <w:lang w:val="fr-CA"/>
        </w:rPr>
        <w:t xml:space="preserve">de « travaux » ou </w:t>
      </w:r>
      <w:r w:rsidRPr="00B24801">
        <w:rPr>
          <w:lang w:val="fr-CA"/>
        </w:rPr>
        <w:t>d’« ouvrage</w:t>
      </w:r>
      <w:r w:rsidR="00F912BA" w:rsidRPr="00B24801">
        <w:rPr>
          <w:lang w:val="fr-CA"/>
        </w:rPr>
        <w:t>s</w:t>
      </w:r>
      <w:r w:rsidRPr="00B24801">
        <w:rPr>
          <w:lang w:val="fr-CA"/>
        </w:rPr>
        <w:t xml:space="preserve"> » doit donc être soigneusement délimitée. Une déclaration qui cible un ouvrage en particulier évite que le Parlement soit investi d’une compétence absolue sur l’industrie dans laquelle cet ouvrage est mis en service; alors qu’une interprétation large du terme, qui englobe toutes les activités liées à un ouvrage, attribuerait à tort au pouvoir déclaratoire une teneur qui viderait de son essence une compétence provinciale, notamment en matière de relations de travail. Alors que la compétence provinciale en matière de relations de travail découle directement du pouvoir accordé à la province par la Constitution sur la propriété et les droits civils, la compétence fédérale n’existe que dans la mesure où la réglementation des relations de travail est nécessairement accessoire à une compétence fédérale, notamment au pouvoir déclaratoire. La compétence fédérale en matière de relations de travail n’intervient donc qu’à titre d’exception à la compétence exclusive des provinces. </w:t>
      </w:r>
    </w:p>
    <w:p w14:paraId="07E558AC" w14:textId="77777777" w:rsidR="001162C6" w:rsidRPr="00B24801" w:rsidRDefault="00167D15">
      <w:pPr>
        <w:pStyle w:val="SCCNormalDoubleSpacing"/>
        <w:widowControl w:val="0"/>
        <w:spacing w:after="480"/>
        <w:rPr>
          <w:lang w:val="fr-CA"/>
        </w:rPr>
      </w:pPr>
      <w:r w:rsidRPr="00B24801">
        <w:rPr>
          <w:color w:val="000000"/>
          <w:lang w:val="fr-CA"/>
        </w:rPr>
        <w:tab/>
      </w:r>
      <w:r w:rsidRPr="00B24801">
        <w:rPr>
          <w:lang w:val="fr-CA"/>
        </w:rPr>
        <w:t>À la suite d’une déclaration faite en vertu de l’al. 92(10)c), la compétence fédérale peut être exercée dans l’une ou l’autre de deux circonstances distinctes : la compétence directe ou la compétence dérivée. Dans un cas comme dans l’autre, il incombe à la partie qui revendique la compétence fédérale de l’établir.</w:t>
      </w:r>
    </w:p>
    <w:p w14:paraId="04877D5A" w14:textId="77777777" w:rsidR="001162C6" w:rsidRPr="00B24801" w:rsidRDefault="00167D15">
      <w:pPr>
        <w:pStyle w:val="SCCNormalDoubleSpacing"/>
        <w:widowControl w:val="0"/>
        <w:spacing w:after="480"/>
        <w:rPr>
          <w:lang w:val="fr-CA"/>
        </w:rPr>
      </w:pPr>
      <w:r w:rsidRPr="00B24801">
        <w:rPr>
          <w:lang w:val="fr-CA"/>
        </w:rPr>
        <w:tab/>
        <w:t xml:space="preserve">Dans le contexte de l’exercice, par le Parlement, de son pouvoir </w:t>
      </w:r>
      <w:r w:rsidRPr="00B24801">
        <w:rPr>
          <w:lang w:val="fr-CA"/>
        </w:rPr>
        <w:lastRenderedPageBreak/>
        <w:t>déclaratoire fondé sur l’al. 92(10)c), l’analyse relative à la compétence directe doit avoir pour point de départ la déclaration, qui précise les ouvrages relevant de la compétence fédérale, puis consiste ensuite à savoir si l’entreprise concernée elle-même est fédérale du fait qu’elle est un exploitant d’un ouvrage fédéral. Comme un ouvrage en soi, étant une chose matérielle, n’a pas de relations de travail, la compétence fédérale directe en matière de relations de travail n’entre en jeu que lorsqu’il s’agit d’étendre la portée du pouvoir déclaratoire aux relations de travail de l’entreprise qui exploite l’ouvrage déclaré. La compétence fédérale directe sur une entreprise dépend de la question de savoir si sa nature fonctionnelle essentielle — révélée par ses activités — la fait tomber dans un champ de compétence fédérale. La compétence fédérale directe ne s’applique qu’à l’exploitation de l’ouvrage lui-même; elle ne s’applique pas aux relations de travail de tiers fournisseurs de services mandatés par des exploitants d’ouvrages fédéraux. Il ne s’agit pas de savoir si l’entreprise en cause fournit des services importants, voire essentiels, à un ouvrage fédéral, car la fourniture de services à un ouvrage ou à une entreprise de compétence fédérale, aussi importante soit-elle, n’a pas pour effet de transformer une entreprise provinciale en entreprise fédérale.</w:t>
      </w:r>
    </w:p>
    <w:p w14:paraId="5CE0A861" w14:textId="77777777" w:rsidR="001162C6" w:rsidRPr="00B24801" w:rsidRDefault="00167D15">
      <w:pPr>
        <w:pStyle w:val="SCCNormalDoubleSpacing"/>
        <w:widowControl w:val="0"/>
        <w:spacing w:after="480"/>
        <w:rPr>
          <w:lang w:val="fr-CA"/>
        </w:rPr>
      </w:pPr>
      <w:r w:rsidRPr="00B24801">
        <w:rPr>
          <w:lang w:val="fr-CA"/>
        </w:rPr>
        <w:tab/>
      </w:r>
      <w:r w:rsidR="00F912BA" w:rsidRPr="00B24801">
        <w:rPr>
          <w:lang w:val="fr-CA"/>
        </w:rPr>
        <w:t>Par contraste</w:t>
      </w:r>
      <w:r w:rsidRPr="00B24801">
        <w:rPr>
          <w:lang w:val="fr-CA"/>
        </w:rPr>
        <w:t xml:space="preserve">, la compétence dérivée fait en sorte qu’une entreprise provinciale relève de la compétence du Parlement lorsque sa nature fonctionnelle essentielle la rend partie intégrante d’une entreprise fédérale. La compétence dérivée repose donc sur l’existence d’un lien entre deux entreprises, l’une provinciale et l’autre, fédérale, plutôt qu’entre une entreprise et un ouvrage. L’analyse consiste à se demander si la compétence fédérale sur une </w:t>
      </w:r>
      <w:r w:rsidRPr="00B24801">
        <w:rPr>
          <w:iCs/>
          <w:lang w:val="fr-CA"/>
        </w:rPr>
        <w:t>entreprise</w:t>
      </w:r>
      <w:r w:rsidRPr="00B24801">
        <w:rPr>
          <w:lang w:val="fr-CA"/>
        </w:rPr>
        <w:t xml:space="preserve"> fédérale peut s’étendre à une </w:t>
      </w:r>
      <w:r w:rsidRPr="00B24801">
        <w:rPr>
          <w:iCs/>
          <w:lang w:val="fr-CA"/>
        </w:rPr>
        <w:t>entreprise</w:t>
      </w:r>
      <w:r w:rsidRPr="00B24801">
        <w:rPr>
          <w:lang w:val="fr-CA"/>
        </w:rPr>
        <w:t xml:space="preserve"> </w:t>
      </w:r>
      <w:r w:rsidRPr="00B24801">
        <w:rPr>
          <w:lang w:val="fr-CA"/>
        </w:rPr>
        <w:lastRenderedPageBreak/>
        <w:t xml:space="preserve">provinciale en raison de l’intégration fonctionnelle entre les deux. L’intégration fonctionnelle doit être appréciée par rapport à une seule entreprise fédérale identifiable et distincte, desservie par l’entreprise provinciale, et non par rapport à plusieurs entreprises fédérales différentes. La compétence dérivée ne prend naissance que s’il existe entre l’entreprise provinciale et l’entreprise fédérale un lien fonctionnel si essentiel qu’il fait perdre à l’entreprise provinciale son caractère provincial distinct et la fait tomber dans la sphère fédérale; les deux entreprises doivent être à ce point interdépendantes que la pérennité de l’une est remise en question si les opérations de l’autre cessent ou sont perturbées de façon importante. L’assujettissement d’une entité provinciale à la compétence du Parlement s’explique par le fait que ses activités sont si intimement liées à l’entreprise fédérale qu’elle est essentiellement exploitée en tant que partie de celle-ci. </w:t>
      </w:r>
    </w:p>
    <w:p w14:paraId="31A88467" w14:textId="77777777" w:rsidR="001162C6" w:rsidRPr="00B24801" w:rsidRDefault="00167D15">
      <w:pPr>
        <w:pStyle w:val="SCCNormalDoubleSpacing"/>
        <w:widowControl w:val="0"/>
        <w:spacing w:after="480"/>
        <w:rPr>
          <w:lang w:val="fr-CA"/>
        </w:rPr>
      </w:pPr>
      <w:r w:rsidRPr="00B24801">
        <w:rPr>
          <w:lang w:val="fr-CA"/>
        </w:rPr>
        <w:tab/>
        <w:t xml:space="preserve">Dans le contexte des relations de travail, quatre facteurs guident l’analyse factuelle en vue d’établir la compétence dérivée : (1) la nature générale de l’entreprise provinciale et le rôle de son unité particulière d’employés fournissant des services à l’entreprise fédérale; (2) la nature du lien entre les deux entreprises faisant affaires entre elles; (3) l’importance du travail effectué par les employés concernés pour l’entreprise fédérale; et (4) le lien matériel et opérationnel entre les deux entreprises. Ces facteurs donnent des indications concrètes sur la façon dont une entreprise provinciale peut être considérée comme faisant partie intégrante d’une entreprise fédérale, et il est préférable de les comprendre suivant deux points de vue : celui de l’entreprise fédérale et celui de l’entreprise provinciale qui lui fournit des services. Ce n’est que lorsque les facteurs </w:t>
      </w:r>
      <w:r w:rsidRPr="00B24801">
        <w:rPr>
          <w:lang w:val="fr-CA"/>
        </w:rPr>
        <w:lastRenderedPageBreak/>
        <w:t xml:space="preserve">nécessaires sont établis selon les deux points de vue que l’entreprise provinciale peut être considérée fonctionnellement intégrée à l’entreprise fédérale qu’elle dessert. Dans certains cas, une partie peut affirmer qu’un groupe d’employés de l’entreprise provinciale forme une unité fonctionnelle particulière. Toutefois, que l’on prenne l’entreprise provinciale dans son ensemble ou une partie de celle-ci, l’analyse demeure la même : ce n’est qu’en appréciant, d’une part, la dépendance de l’entreprise fédérale à l’égard des services fournis par l’unité ou par l’entreprise provinciale dans son ensemble et, d’autre part, le caractère prédominant de ces services pour l’unité ou pour l’ensemble des opérations de l’entreprise provinciale, que l’application d’une compétence fédérale dérivée pourra être justifiée. Le critère de la compétence dérivée doit être appliqué avec rigueur, faute de quoi on ouvrirait la porte à une compétence fédérale absolue. </w:t>
      </w:r>
    </w:p>
    <w:p w14:paraId="28EC443A" w14:textId="77777777" w:rsidR="001162C6" w:rsidRPr="00B24801" w:rsidRDefault="00167D15">
      <w:pPr>
        <w:pStyle w:val="SCCNormalDoubleSpacing"/>
        <w:widowControl w:val="0"/>
        <w:spacing w:after="480"/>
        <w:rPr>
          <w:lang w:val="fr-CA"/>
        </w:rPr>
      </w:pPr>
      <w:r w:rsidRPr="00B24801">
        <w:rPr>
          <w:lang w:val="fr-CA"/>
        </w:rPr>
        <w:tab/>
        <w:t xml:space="preserve">Si l’on applique le cadre exposé ci-dessus en l’espèce, les principes directeurs du droit constitutionnel tendent clairement à indiquer que la déclaration figurant au </w:t>
      </w:r>
      <w:proofErr w:type="spellStart"/>
      <w:r w:rsidRPr="00B24801">
        <w:rPr>
          <w:lang w:val="fr-CA"/>
        </w:rPr>
        <w:t>par</w:t>
      </w:r>
      <w:proofErr w:type="spellEnd"/>
      <w:r w:rsidRPr="00B24801">
        <w:rPr>
          <w:lang w:val="fr-CA"/>
        </w:rPr>
        <w:t xml:space="preserve">. 55(1) de la </w:t>
      </w:r>
      <w:r w:rsidRPr="00B24801">
        <w:rPr>
          <w:i/>
          <w:iCs/>
          <w:lang w:val="fr-CA"/>
        </w:rPr>
        <w:t xml:space="preserve">Loi sur les grains du Canada </w:t>
      </w:r>
      <w:r w:rsidRPr="00B24801">
        <w:rPr>
          <w:lang w:val="fr-CA"/>
        </w:rPr>
        <w:t xml:space="preserve">ne fonde aucune compétence fédérale en matière de relations de travail à l’égard des employés de SGS concernés, que ce soit au titre de la compétence directe ou de la compétence dérivée. Premièrement, la Cour d’appel a utilisé le mauvais critère juridique en concluant que la compétence directe s’appliquait. Au lieu de se demander si SGS elle-même était une entreprise fédérale parce qu’elle exploitait un silo à grains visé par une déclaration du législateur fédéral, </w:t>
      </w:r>
      <w:r w:rsidR="00F912BA" w:rsidRPr="00B24801">
        <w:rPr>
          <w:lang w:val="fr-CA"/>
        </w:rPr>
        <w:t>la Cour d’appel</w:t>
      </w:r>
      <w:r w:rsidRPr="00B24801">
        <w:rPr>
          <w:lang w:val="fr-CA"/>
        </w:rPr>
        <w:t xml:space="preserve"> s’est demandé si SGS fournissait un service qui était fonctionnellement nécessaire et essentiel au déroulement des activités de l’ouvrage. </w:t>
      </w:r>
      <w:r w:rsidRPr="00B24801">
        <w:rPr>
          <w:lang w:val="fr-CA"/>
        </w:rPr>
        <w:lastRenderedPageBreak/>
        <w:t xml:space="preserve">Cette approche risque de placer sous la compétence fédérale des ouvrages, des entreprises ou des activités commerciales de tiers tout simplement en raison du lien qui existe entre leurs activités et un régime fédéral (c.-à-d., la </w:t>
      </w:r>
      <w:r w:rsidRPr="00B24801">
        <w:rPr>
          <w:i/>
          <w:iCs/>
          <w:lang w:val="fr-CA"/>
        </w:rPr>
        <w:t>Loi sur les grains du Canada</w:t>
      </w:r>
      <w:r w:rsidRPr="00B24801">
        <w:rPr>
          <w:lang w:val="fr-CA"/>
        </w:rPr>
        <w:t xml:space="preserve">) ou un sujet (c.-à-d., le grain) plus large. En l’espèce, le Parlement a exercé son pouvoir déclaratoire à l’égard des silos à grains, et ce pouvoir ne s’étend pas à quiconque participe au commerce du grain dans son ensemble. SGS n’est pas une entreprise relevant de la compétence fédérale simplement parce qu’elle fournit des services qui s’inscrivent dans la portée de la réglementation fédérale. </w:t>
      </w:r>
      <w:r w:rsidRPr="00B24801">
        <w:rPr>
          <w:lang w:val="fr-CA" w:eastAsia="fr-CA"/>
        </w:rPr>
        <w:t>Les services d’inspection des grains fournis par SGS, même s’ils sont essentiels aux exploitants des silos à grains, ne f</w:t>
      </w:r>
      <w:r w:rsidR="00F912BA" w:rsidRPr="00B24801">
        <w:rPr>
          <w:lang w:val="fr-CA" w:eastAsia="fr-CA"/>
        </w:rPr>
        <w:t>ont</w:t>
      </w:r>
      <w:r w:rsidRPr="00B24801">
        <w:rPr>
          <w:lang w:val="fr-CA" w:eastAsia="fr-CA"/>
        </w:rPr>
        <w:t xml:space="preserve"> pas pour autant de SGS une « exploitante » en soi. </w:t>
      </w:r>
      <w:proofErr w:type="spellStart"/>
      <w:r w:rsidRPr="00B24801">
        <w:rPr>
          <w:lang w:val="fr-CA"/>
        </w:rPr>
        <w:t>Viterra</w:t>
      </w:r>
      <w:proofErr w:type="spellEnd"/>
      <w:r w:rsidRPr="00B24801">
        <w:rPr>
          <w:lang w:val="fr-CA"/>
        </w:rPr>
        <w:t xml:space="preserve">, la société privée et entreprise fédérale qui loue et exploite le silo terminal à grains en question, est une exploitante; SGS, en tant que tiers fournisseur de services, ne l’est pas. </w:t>
      </w:r>
    </w:p>
    <w:p w14:paraId="0B0232A0" w14:textId="77777777" w:rsidR="001162C6" w:rsidRPr="00B24801" w:rsidRDefault="00167D15">
      <w:pPr>
        <w:pStyle w:val="SCCNormalDoubleSpacing"/>
        <w:widowControl w:val="0"/>
        <w:spacing w:after="480"/>
        <w:rPr>
          <w:lang w:val="fr-CA"/>
        </w:rPr>
      </w:pPr>
      <w:r w:rsidRPr="00B24801">
        <w:rPr>
          <w:lang w:val="fr-CA"/>
        </w:rPr>
        <w:tab/>
        <w:t xml:space="preserve">Deuxièmement, la Cour d’appel a commis une erreur de droit dans son interprétation du critère permettant d’établir la compétence fédérale dérivée en matière de relations de travail. SGS ne peut relever de la compétence dérivée du Parlement qu’en raison de son intégration fonctionnelle alléguée avec </w:t>
      </w:r>
      <w:proofErr w:type="spellStart"/>
      <w:r w:rsidRPr="00B24801">
        <w:rPr>
          <w:lang w:val="fr-CA"/>
        </w:rPr>
        <w:t>Viterra</w:t>
      </w:r>
      <w:proofErr w:type="spellEnd"/>
      <w:r w:rsidRPr="00B24801">
        <w:rPr>
          <w:lang w:val="fr-CA"/>
        </w:rPr>
        <w:t xml:space="preserve">. Une tierce partie comme SGS, qui a notamment pour objet commercial de fournir une vérification indépendante de la qualité du grain, conserve nécessairement une certaine indépendance par rapport aux silos à grains qu’elle dessert. Cet état de fait milite contre une conclusion d’intégration fonctionnelle, malgré l’importance de la contribution de SGS. Bien que SGS fournisse un service commercial important dont dépend </w:t>
      </w:r>
      <w:proofErr w:type="spellStart"/>
      <w:r w:rsidRPr="00B24801">
        <w:rPr>
          <w:lang w:val="fr-CA"/>
        </w:rPr>
        <w:t>Viterra</w:t>
      </w:r>
      <w:proofErr w:type="spellEnd"/>
      <w:r w:rsidRPr="00B24801">
        <w:rPr>
          <w:lang w:val="fr-CA"/>
        </w:rPr>
        <w:t xml:space="preserve">, ce service est essentiel non seulement pour le rôle de </w:t>
      </w:r>
      <w:proofErr w:type="spellStart"/>
      <w:r w:rsidRPr="00B24801">
        <w:rPr>
          <w:lang w:val="fr-CA"/>
        </w:rPr>
        <w:t>Viterra</w:t>
      </w:r>
      <w:proofErr w:type="spellEnd"/>
      <w:r w:rsidRPr="00B24801">
        <w:rPr>
          <w:lang w:val="fr-CA"/>
        </w:rPr>
        <w:t xml:space="preserve"> comme exploitante de </w:t>
      </w:r>
      <w:r w:rsidRPr="00B24801">
        <w:rPr>
          <w:lang w:val="fr-CA"/>
        </w:rPr>
        <w:lastRenderedPageBreak/>
        <w:t xml:space="preserve">silo, mais aussi pour le commerce de </w:t>
      </w:r>
      <w:proofErr w:type="spellStart"/>
      <w:r w:rsidRPr="00B24801">
        <w:rPr>
          <w:lang w:val="fr-CA"/>
        </w:rPr>
        <w:t>Viterra</w:t>
      </w:r>
      <w:proofErr w:type="spellEnd"/>
      <w:r w:rsidRPr="00B24801">
        <w:rPr>
          <w:lang w:val="fr-CA"/>
        </w:rPr>
        <w:t xml:space="preserve">, lequel consiste à acheter des grains et à les vendre à l’étranger. Si le premier type de services est pertinent pour l’analyse de la compétence dérivée, le second ne l’est pas. Autrement dit, bien que l’exploitation d’un silo terminal à grains puisse encore constituer une entreprise fédérale limitée appuyant l’ouvrage visé par une déclaration, l’exploitation d’une entreprise commerciale d’achat et de vente de grain demeure présumée relever de la compétence provinciale. Ainsi, comme les principales fonctions d’un silo terminal sont de recevoir les grains d’autres silos, les laver, les entreposer et les traiter avant de les charger sur des navires, SGS n’est pas fonctionnellement intégrée à ce seul aspect de l’ouvrage en cause. L’entreprise fédérale doit être limitée à l’exploitation de l’ouvrage déclaré, sans s’étendre aux activités commerciales ou sectorielles auxquelles se livre également l’entité exploitant l’ouvrage. Sinon, la compétence dérivée risquerait de servir de moyen détourné pour étendre la compétence fédérale à des entreprises n’ayant qu’un lien accessoire avec des chefs de compétence fédérale d’application générale. </w:t>
      </w:r>
    </w:p>
    <w:p w14:paraId="6E5CD786" w14:textId="77777777" w:rsidR="001162C6" w:rsidRPr="00B24801" w:rsidRDefault="00167D15">
      <w:pPr>
        <w:pStyle w:val="SCCNormalDoubleSpacing"/>
        <w:widowControl w:val="0"/>
        <w:spacing w:after="480"/>
        <w:rPr>
          <w:color w:val="000000"/>
          <w:lang w:val="fr-CA"/>
        </w:rPr>
      </w:pPr>
      <w:r w:rsidRPr="00B24801">
        <w:rPr>
          <w:color w:val="000000"/>
          <w:lang w:val="fr-CA"/>
        </w:rPr>
        <w:tab/>
      </w:r>
      <w:r w:rsidRPr="00B24801">
        <w:rPr>
          <w:lang w:val="fr-CA"/>
        </w:rPr>
        <w:t xml:space="preserve">La Cour d’appel n’a en outre pas dûment tenu compte des deux perspectives de la relation entre SGS et </w:t>
      </w:r>
      <w:proofErr w:type="spellStart"/>
      <w:r w:rsidRPr="00B24801">
        <w:rPr>
          <w:lang w:val="fr-CA"/>
        </w:rPr>
        <w:t>Viterra</w:t>
      </w:r>
      <w:proofErr w:type="spellEnd"/>
      <w:r w:rsidRPr="00B24801">
        <w:rPr>
          <w:lang w:val="fr-CA"/>
        </w:rPr>
        <w:t xml:space="preserve">. Lorsqu’ils analysent la relation entre une entreprise provinciale et une entreprise fédérale, les tribunaux doivent prendre en considération les qualifications contradictoires par les parties de l’unité d’analyse pertinente pour le critère de la compétence dérivée. L’intégration fonctionnelle du point de vue de l’entreprise provinciale en l’espèce doit être évaluée en tenant compte séparément de SGS dans son ensemble, de la Division et de la Succursale. Premièrement, bien que les services de SGS soient sans aucun doute importants pour </w:t>
      </w:r>
      <w:r w:rsidRPr="00B24801">
        <w:rPr>
          <w:lang w:val="fr-CA"/>
        </w:rPr>
        <w:lastRenderedPageBreak/>
        <w:t xml:space="preserve">les opérations de </w:t>
      </w:r>
      <w:proofErr w:type="spellStart"/>
      <w:r w:rsidRPr="00B24801">
        <w:rPr>
          <w:lang w:val="fr-CA"/>
        </w:rPr>
        <w:t>Viterra</w:t>
      </w:r>
      <w:proofErr w:type="spellEnd"/>
      <w:r w:rsidRPr="00B24801">
        <w:rPr>
          <w:lang w:val="fr-CA"/>
        </w:rPr>
        <w:t xml:space="preserve">, on ne peut en dire autant de la dépendance de SGS à l’égard de </w:t>
      </w:r>
      <w:proofErr w:type="spellStart"/>
      <w:r w:rsidRPr="00B24801">
        <w:rPr>
          <w:lang w:val="fr-CA"/>
        </w:rPr>
        <w:t>Viterra</w:t>
      </w:r>
      <w:proofErr w:type="spellEnd"/>
      <w:r w:rsidRPr="00B24801">
        <w:rPr>
          <w:lang w:val="fr-CA"/>
        </w:rPr>
        <w:t xml:space="preserve">; l’intégration fonctionnelle ne peut donc être établie en fonction de SGS prise dans son ensemble. Deuxièmement, les services que fournit la Division à </w:t>
      </w:r>
      <w:proofErr w:type="spellStart"/>
      <w:r w:rsidRPr="00B24801">
        <w:rPr>
          <w:lang w:val="fr-CA"/>
        </w:rPr>
        <w:t>Viterra</w:t>
      </w:r>
      <w:proofErr w:type="spellEnd"/>
      <w:r w:rsidRPr="00B24801">
        <w:rPr>
          <w:lang w:val="fr-CA"/>
        </w:rPr>
        <w:t xml:space="preserve"> ne constituent pas la majeure partie de l’ensemble de ses activités; la Division n’est donc pas intégrée à </w:t>
      </w:r>
      <w:proofErr w:type="spellStart"/>
      <w:r w:rsidRPr="00B24801">
        <w:rPr>
          <w:lang w:val="fr-CA"/>
        </w:rPr>
        <w:t>Viterra</w:t>
      </w:r>
      <w:proofErr w:type="spellEnd"/>
      <w:r w:rsidRPr="00B24801">
        <w:rPr>
          <w:lang w:val="fr-CA"/>
        </w:rPr>
        <w:t xml:space="preserve"> sur le plan fonctionnel et ne peut être qualifiée d’unité fonctionnelle particulière. Troisièmement, on ne peut dire non plus que les employés de la Succursale sont intégrés fonctionnellement à </w:t>
      </w:r>
      <w:proofErr w:type="spellStart"/>
      <w:r w:rsidRPr="00B24801">
        <w:rPr>
          <w:lang w:val="fr-CA"/>
        </w:rPr>
        <w:t>Viterra</w:t>
      </w:r>
      <w:proofErr w:type="spellEnd"/>
      <w:r w:rsidRPr="00B24801">
        <w:rPr>
          <w:lang w:val="fr-CA"/>
        </w:rPr>
        <w:t xml:space="preserve">, ni qu’ils forment une unité fonctionnelle particulière. Les employés de la Succursale ne sont pas physiquement présents chez </w:t>
      </w:r>
      <w:proofErr w:type="spellStart"/>
      <w:r w:rsidRPr="00B24801">
        <w:rPr>
          <w:lang w:val="fr-CA"/>
        </w:rPr>
        <w:t>Viterra</w:t>
      </w:r>
      <w:proofErr w:type="spellEnd"/>
      <w:r w:rsidRPr="00B24801">
        <w:rPr>
          <w:lang w:val="fr-CA"/>
        </w:rPr>
        <w:t xml:space="preserve">, ni chez aucun des cinq autres exploitants de silo terminal au Québec. Les employés passent d’un des six silos terminaux à un autre, en rotation, et bien que leurs services puissent être importants pour l’exploitation des six </w:t>
      </w:r>
      <w:r w:rsidR="00F912BA" w:rsidRPr="00B24801">
        <w:rPr>
          <w:lang w:val="fr-CA"/>
        </w:rPr>
        <w:t xml:space="preserve">silos </w:t>
      </w:r>
      <w:r w:rsidRPr="00B24801">
        <w:rPr>
          <w:lang w:val="fr-CA"/>
        </w:rPr>
        <w:t xml:space="preserve">terminaux, ce fait, en soi, ne suffit pas à établir l’intégration fonctionnelle, qui s’attache à la relation entre une entreprise provinciale et une entreprise fédérale. Rien ne prouve une intégration fonctionnelle à un silo terminal individuel, et il n’y a pas non plus d’unité opérationnelle entre les six silos d’une manière qui permettrait d’établir l’intégration fonctionnelle aux six silos dans leur ensemble, </w:t>
      </w:r>
      <w:r w:rsidRPr="00B24801">
        <w:rPr>
          <w:color w:val="000000"/>
          <w:lang w:val="fr-CA"/>
        </w:rPr>
        <w:t>ou en tant qu’ensemble</w:t>
      </w:r>
      <w:r w:rsidRPr="00B24801">
        <w:rPr>
          <w:lang w:val="fr-CA"/>
        </w:rPr>
        <w:t xml:space="preserve">, car différentes entreprises fédérales exploitent les silos terminaux de façon indépendante. </w:t>
      </w:r>
    </w:p>
    <w:p w14:paraId="7AC520BE" w14:textId="77777777" w:rsidR="001162C6" w:rsidRPr="00B24801" w:rsidRDefault="00167D15">
      <w:pPr>
        <w:pStyle w:val="SCCNormalKeyWords"/>
        <w:widowControl w:val="0"/>
        <w:spacing w:after="480"/>
        <w:rPr>
          <w:b/>
          <w:i w:val="0"/>
        </w:rPr>
      </w:pPr>
      <w:r w:rsidRPr="00B24801">
        <w:rPr>
          <w:b/>
          <w:i w:val="0"/>
        </w:rPr>
        <w:t>Jurisprudence</w:t>
      </w:r>
    </w:p>
    <w:p w14:paraId="77861CF8" w14:textId="77777777" w:rsidR="001162C6" w:rsidRPr="00B24801" w:rsidRDefault="00167D15">
      <w:pPr>
        <w:pStyle w:val="SCCNormalDoubleSpacing"/>
        <w:widowControl w:val="0"/>
        <w:spacing w:after="720" w:line="240" w:lineRule="auto"/>
        <w:rPr>
          <w:lang w:val="fr-CA"/>
        </w:rPr>
      </w:pPr>
      <w:r w:rsidRPr="00B24801">
        <w:rPr>
          <w:lang w:val="fr-CA"/>
        </w:rPr>
        <w:t>Citée par la juge Karakatsanis</w:t>
      </w:r>
    </w:p>
    <w:p w14:paraId="6F125159" w14:textId="77777777" w:rsidR="001162C6" w:rsidRPr="00B24801" w:rsidRDefault="00167D15">
      <w:pPr>
        <w:pStyle w:val="SCCNormalDoubleSpacing"/>
        <w:widowControl w:val="0"/>
        <w:spacing w:after="480"/>
        <w:rPr>
          <w:b/>
          <w:lang w:val="fr-CA"/>
        </w:rPr>
      </w:pPr>
      <w:r w:rsidRPr="00B24801">
        <w:rPr>
          <w:lang w:val="fr-CA"/>
        </w:rPr>
        <w:tab/>
      </w:r>
      <w:r w:rsidRPr="00B24801">
        <w:rPr>
          <w:b/>
          <w:lang w:val="fr-CA"/>
        </w:rPr>
        <w:t>Arrêt rejeté :</w:t>
      </w:r>
      <w:r w:rsidRPr="00B24801">
        <w:rPr>
          <w:lang w:val="fr-CA"/>
        </w:rPr>
        <w:t xml:space="preserve"> </w:t>
      </w:r>
      <w:proofErr w:type="spellStart"/>
      <w:r w:rsidRPr="00B24801">
        <w:rPr>
          <w:i/>
          <w:iCs/>
          <w:lang w:val="fr-CA"/>
        </w:rPr>
        <w:t>Madysta</w:t>
      </w:r>
      <w:proofErr w:type="spellEnd"/>
      <w:r w:rsidRPr="00B24801">
        <w:rPr>
          <w:i/>
          <w:iCs/>
          <w:lang w:val="fr-CA"/>
        </w:rPr>
        <w:t xml:space="preserve"> Télécom </w:t>
      </w:r>
      <w:proofErr w:type="spellStart"/>
      <w:r w:rsidRPr="00B24801">
        <w:rPr>
          <w:i/>
          <w:iCs/>
          <w:lang w:val="fr-CA"/>
        </w:rPr>
        <w:t>ltée</w:t>
      </w:r>
      <w:proofErr w:type="spellEnd"/>
      <w:r w:rsidRPr="00B24801">
        <w:rPr>
          <w:i/>
          <w:iCs/>
          <w:lang w:val="fr-CA"/>
        </w:rPr>
        <w:t xml:space="preserve"> c. Commission des normes, de </w:t>
      </w:r>
      <w:r w:rsidRPr="00B24801">
        <w:rPr>
          <w:i/>
          <w:iCs/>
          <w:lang w:val="fr-CA"/>
        </w:rPr>
        <w:lastRenderedPageBreak/>
        <w:t>l’équité, de la santé et de la sécurité du travail</w:t>
      </w:r>
      <w:r w:rsidRPr="00B24801">
        <w:rPr>
          <w:iCs/>
          <w:lang w:val="fr-CA"/>
        </w:rPr>
        <w:t>,</w:t>
      </w:r>
      <w:r w:rsidRPr="00B24801">
        <w:rPr>
          <w:i/>
          <w:iCs/>
          <w:lang w:val="fr-CA"/>
        </w:rPr>
        <w:t xml:space="preserve"> </w:t>
      </w:r>
      <w:r w:rsidRPr="00B24801">
        <w:rPr>
          <w:iCs/>
          <w:lang w:val="fr-CA"/>
        </w:rPr>
        <w:t xml:space="preserve">2020 QCCA 183; </w:t>
      </w:r>
      <w:r w:rsidRPr="00B24801">
        <w:rPr>
          <w:b/>
          <w:iCs/>
          <w:lang w:val="fr-CA"/>
        </w:rPr>
        <w:t>arrêt appliqué :</w:t>
      </w:r>
      <w:r w:rsidRPr="00B24801">
        <w:rPr>
          <w:iCs/>
          <w:lang w:val="fr-CA"/>
        </w:rPr>
        <w:t xml:space="preserve"> </w:t>
      </w:r>
      <w:r w:rsidRPr="00B24801">
        <w:rPr>
          <w:i/>
          <w:lang w:val="fr-CA"/>
        </w:rPr>
        <w:t>Tessier Ltée c. Québec (Commission de la santé et de la sécurité du travail)</w:t>
      </w:r>
      <w:r w:rsidRPr="00B24801">
        <w:rPr>
          <w:lang w:val="fr-CA"/>
        </w:rPr>
        <w:t xml:space="preserve">, 2012 CSC 23, [2012] 2 R.C.S. 3; </w:t>
      </w:r>
      <w:r w:rsidRPr="00B24801">
        <w:rPr>
          <w:b/>
          <w:lang w:val="fr-CA"/>
        </w:rPr>
        <w:t>distinction d’avec l’arrêt :</w:t>
      </w:r>
      <w:r w:rsidRPr="00B24801">
        <w:rPr>
          <w:lang w:val="fr-CA"/>
        </w:rPr>
        <w:t xml:space="preserve"> </w:t>
      </w:r>
      <w:r w:rsidRPr="00B24801">
        <w:rPr>
          <w:i/>
          <w:iCs/>
          <w:color w:val="000000"/>
          <w:lang w:val="fr-CA"/>
        </w:rPr>
        <w:t>Ontario Hydro c. Ontario (Commission des relations de travail)</w:t>
      </w:r>
      <w:r w:rsidRPr="00B24801">
        <w:rPr>
          <w:color w:val="000000"/>
          <w:lang w:val="fr-CA"/>
        </w:rPr>
        <w:t xml:space="preserve">, [1993] 3 R.C.S. 327; </w:t>
      </w:r>
      <w:r w:rsidRPr="00B24801">
        <w:rPr>
          <w:b/>
          <w:color w:val="000000"/>
          <w:lang w:val="fr-CA"/>
        </w:rPr>
        <w:t>arrêts examinés :</w:t>
      </w:r>
      <w:r w:rsidRPr="00B24801">
        <w:rPr>
          <w:color w:val="000000"/>
          <w:lang w:val="fr-CA"/>
        </w:rPr>
        <w:t xml:space="preserve"> </w:t>
      </w:r>
      <w:r w:rsidRPr="00B24801">
        <w:rPr>
          <w:i/>
          <w:iCs/>
          <w:color w:val="000000"/>
          <w:lang w:val="fr-CA"/>
        </w:rPr>
        <w:t xml:space="preserve">Reference re </w:t>
      </w:r>
      <w:proofErr w:type="spellStart"/>
      <w:r w:rsidRPr="00B24801">
        <w:rPr>
          <w:i/>
          <w:iCs/>
          <w:color w:val="000000"/>
          <w:lang w:val="fr-CA"/>
        </w:rPr>
        <w:t>Industrial</w:t>
      </w:r>
      <w:proofErr w:type="spellEnd"/>
      <w:r w:rsidRPr="00B24801">
        <w:rPr>
          <w:i/>
          <w:iCs/>
          <w:color w:val="000000"/>
          <w:lang w:val="fr-CA"/>
        </w:rPr>
        <w:t xml:space="preserve"> Relations and Disputes Investigation </w:t>
      </w:r>
      <w:proofErr w:type="spellStart"/>
      <w:r w:rsidRPr="00B24801">
        <w:rPr>
          <w:i/>
          <w:iCs/>
          <w:color w:val="000000"/>
          <w:lang w:val="fr-CA"/>
        </w:rPr>
        <w:t>Act</w:t>
      </w:r>
      <w:proofErr w:type="spellEnd"/>
      <w:r w:rsidRPr="00B24801">
        <w:rPr>
          <w:color w:val="000000"/>
          <w:lang w:val="fr-CA"/>
        </w:rPr>
        <w:t xml:space="preserve">, [1955] R.C.S. 529; </w:t>
      </w:r>
      <w:r w:rsidRPr="00B24801">
        <w:rPr>
          <w:i/>
          <w:iCs/>
          <w:szCs w:val="24"/>
          <w:lang w:val="fr-CA"/>
        </w:rPr>
        <w:t>Canadian Pacific Railway Co. c. Attorney</w:t>
      </w:r>
      <w:r w:rsidRPr="00B24801">
        <w:rPr>
          <w:lang w:val="fr-CA"/>
        </w:rPr>
        <w:t>-</w:t>
      </w:r>
      <w:r w:rsidRPr="00B24801">
        <w:rPr>
          <w:i/>
          <w:iCs/>
          <w:szCs w:val="24"/>
          <w:lang w:val="fr-CA"/>
        </w:rPr>
        <w:t>General for British Columbia</w:t>
      </w:r>
      <w:r w:rsidRPr="00B24801">
        <w:rPr>
          <w:szCs w:val="24"/>
          <w:lang w:val="fr-CA"/>
        </w:rPr>
        <w:t xml:space="preserve">, [1950] A.C. 122; </w:t>
      </w:r>
      <w:proofErr w:type="spellStart"/>
      <w:r w:rsidRPr="00B24801">
        <w:rPr>
          <w:i/>
          <w:iCs/>
          <w:color w:val="000000"/>
          <w:lang w:val="fr-CA"/>
        </w:rPr>
        <w:t>Northern</w:t>
      </w:r>
      <w:proofErr w:type="spellEnd"/>
      <w:r w:rsidRPr="00B24801">
        <w:rPr>
          <w:i/>
          <w:iCs/>
          <w:color w:val="000000"/>
          <w:lang w:val="fr-CA"/>
        </w:rPr>
        <w:t xml:space="preserve"> Telecom Canada Ltée c. Syndicat des Travailleurs en communication du Canada</w:t>
      </w:r>
      <w:r w:rsidRPr="00B24801">
        <w:rPr>
          <w:color w:val="000000"/>
          <w:lang w:val="fr-CA"/>
        </w:rPr>
        <w:t xml:space="preserve">, [1983] 1 R.C.S. 733; </w:t>
      </w:r>
      <w:r w:rsidRPr="00B24801">
        <w:rPr>
          <w:i/>
          <w:color w:val="000000"/>
          <w:lang w:val="fr-CA"/>
        </w:rPr>
        <w:t>Travailleurs unis des transports c. Central Western Railway Corp.</w:t>
      </w:r>
      <w:r w:rsidRPr="00B24801">
        <w:rPr>
          <w:color w:val="000000"/>
          <w:lang w:val="fr-CA"/>
        </w:rPr>
        <w:t xml:space="preserve">, [1990] 3 R.C.S. 1112; </w:t>
      </w:r>
      <w:r w:rsidRPr="00B24801">
        <w:rPr>
          <w:b/>
          <w:lang w:val="fr-CA"/>
        </w:rPr>
        <w:t>arrêts mentionnés :</w:t>
      </w:r>
      <w:r w:rsidRPr="00B24801">
        <w:rPr>
          <w:lang w:val="fr-CA"/>
        </w:rPr>
        <w:t xml:space="preserve"> </w:t>
      </w:r>
      <w:r w:rsidRPr="00B24801">
        <w:rPr>
          <w:i/>
          <w:lang w:val="fr-CA"/>
        </w:rPr>
        <w:t>Jorgenson c. Procureur général du Canada</w:t>
      </w:r>
      <w:r w:rsidRPr="00B24801">
        <w:rPr>
          <w:lang w:val="fr-CA"/>
        </w:rPr>
        <w:t xml:space="preserve">, [1971] R.C.S. 725; </w:t>
      </w:r>
      <w:bookmarkStart w:id="5" w:name="_Ref203118294"/>
      <w:r w:rsidRPr="00B24801">
        <w:rPr>
          <w:i/>
          <w:iCs/>
          <w:color w:val="000000"/>
          <w:lang w:val="fr-CA"/>
        </w:rPr>
        <w:t>Canada (Ministre de la Citoyenneté et de l’Immigration) c. Vavilov</w:t>
      </w:r>
      <w:r w:rsidRPr="00B24801">
        <w:rPr>
          <w:color w:val="000000"/>
          <w:lang w:val="fr-CA"/>
        </w:rPr>
        <w:t>, 2019 CSC 65, [2019] 4 R.C.S. 653</w:t>
      </w:r>
      <w:bookmarkEnd w:id="5"/>
      <w:r w:rsidRPr="00B24801">
        <w:rPr>
          <w:color w:val="000000"/>
          <w:lang w:val="fr-CA"/>
        </w:rPr>
        <w:t xml:space="preserve">; </w:t>
      </w:r>
      <w:r w:rsidRPr="00B24801">
        <w:rPr>
          <w:i/>
          <w:iCs/>
          <w:color w:val="000000"/>
          <w:lang w:val="fr-CA"/>
        </w:rPr>
        <w:t xml:space="preserve">Société des casinos du Québec </w:t>
      </w:r>
      <w:proofErr w:type="spellStart"/>
      <w:r w:rsidRPr="00B24801">
        <w:rPr>
          <w:i/>
          <w:iCs/>
          <w:color w:val="000000"/>
          <w:lang w:val="fr-CA"/>
        </w:rPr>
        <w:t>inc.</w:t>
      </w:r>
      <w:proofErr w:type="spellEnd"/>
      <w:r w:rsidRPr="00B24801">
        <w:rPr>
          <w:i/>
          <w:iCs/>
          <w:color w:val="000000"/>
          <w:lang w:val="fr-CA"/>
        </w:rPr>
        <w:t xml:space="preserve"> c. Association des cadres de la Société des casinos du Québec</w:t>
      </w:r>
      <w:r w:rsidRPr="00B24801">
        <w:rPr>
          <w:color w:val="000000"/>
          <w:lang w:val="fr-CA"/>
        </w:rPr>
        <w:t xml:space="preserve">, 2024 CSC 13; </w:t>
      </w:r>
      <w:r w:rsidRPr="00B24801">
        <w:rPr>
          <w:i/>
          <w:iCs/>
          <w:color w:val="000000"/>
          <w:lang w:val="fr-CA"/>
        </w:rPr>
        <w:t>Canada (Directeur des enquêtes et recherches) c. Southam Inc.</w:t>
      </w:r>
      <w:r w:rsidRPr="00B24801">
        <w:rPr>
          <w:color w:val="000000"/>
          <w:lang w:val="fr-CA"/>
        </w:rPr>
        <w:t xml:space="preserve">, [1997] 1 R.C.S. 748; </w:t>
      </w:r>
      <w:r w:rsidRPr="00B24801">
        <w:rPr>
          <w:i/>
          <w:iCs/>
          <w:color w:val="000000"/>
          <w:lang w:val="fr-CA"/>
        </w:rPr>
        <w:t xml:space="preserve">NIL/TU,O Child and Family Services Society c. B.C. </w:t>
      </w:r>
      <w:proofErr w:type="spellStart"/>
      <w:r w:rsidRPr="00B24801">
        <w:rPr>
          <w:i/>
          <w:iCs/>
          <w:color w:val="000000"/>
          <w:lang w:val="fr-CA"/>
        </w:rPr>
        <w:t>Government</w:t>
      </w:r>
      <w:proofErr w:type="spellEnd"/>
      <w:r w:rsidRPr="00B24801">
        <w:rPr>
          <w:i/>
          <w:iCs/>
          <w:color w:val="000000"/>
          <w:lang w:val="fr-CA"/>
        </w:rPr>
        <w:t xml:space="preserve"> and Service </w:t>
      </w:r>
      <w:proofErr w:type="spellStart"/>
      <w:r w:rsidRPr="00B24801">
        <w:rPr>
          <w:i/>
          <w:iCs/>
          <w:color w:val="000000"/>
          <w:lang w:val="fr-CA"/>
        </w:rPr>
        <w:t>Employees</w:t>
      </w:r>
      <w:proofErr w:type="spellEnd"/>
      <w:r w:rsidRPr="00B24801">
        <w:rPr>
          <w:i/>
          <w:iCs/>
          <w:color w:val="000000"/>
          <w:lang w:val="fr-CA"/>
        </w:rPr>
        <w:t>’ Union</w:t>
      </w:r>
      <w:r w:rsidRPr="00B24801">
        <w:rPr>
          <w:color w:val="000000"/>
          <w:lang w:val="fr-CA"/>
        </w:rPr>
        <w:t xml:space="preserve">, 2010 CSC 45, [2010] 2 R.C.S. 696; </w:t>
      </w:r>
      <w:r w:rsidRPr="00B24801">
        <w:rPr>
          <w:i/>
          <w:iCs/>
          <w:lang w:val="fr-CA"/>
        </w:rPr>
        <w:t xml:space="preserve">Commission du salaire minimum c. Bell </w:t>
      </w:r>
      <w:proofErr w:type="spellStart"/>
      <w:r w:rsidRPr="00B24801">
        <w:rPr>
          <w:i/>
          <w:iCs/>
          <w:lang w:val="fr-CA"/>
        </w:rPr>
        <w:t>Telephone</w:t>
      </w:r>
      <w:proofErr w:type="spellEnd"/>
      <w:r w:rsidRPr="00B24801">
        <w:rPr>
          <w:i/>
          <w:iCs/>
          <w:lang w:val="fr-CA"/>
        </w:rPr>
        <w:t xml:space="preserve"> Co. of Canada</w:t>
      </w:r>
      <w:r w:rsidRPr="00B24801">
        <w:rPr>
          <w:lang w:val="fr-CA"/>
        </w:rPr>
        <w:t xml:space="preserve">, [1966] R.C.S. 767; </w:t>
      </w:r>
      <w:r w:rsidRPr="00B24801">
        <w:rPr>
          <w:i/>
          <w:iCs/>
          <w:color w:val="000000"/>
          <w:lang w:val="fr-CA"/>
        </w:rPr>
        <w:t>Bell Canada c. Québec (Commission de la santé et de la sécurité du travail)</w:t>
      </w:r>
      <w:r w:rsidRPr="00B24801">
        <w:rPr>
          <w:color w:val="000000"/>
          <w:lang w:val="fr-CA"/>
        </w:rPr>
        <w:t xml:space="preserve">, [1988] 1 R.C.S. 749; </w:t>
      </w:r>
      <w:r w:rsidRPr="00B24801">
        <w:rPr>
          <w:i/>
          <w:iCs/>
          <w:color w:val="000000"/>
          <w:lang w:val="fr-CA"/>
        </w:rPr>
        <w:t>Reference re Waters and Water-Powers</w:t>
      </w:r>
      <w:r w:rsidRPr="00B24801">
        <w:rPr>
          <w:color w:val="000000"/>
          <w:lang w:val="fr-CA"/>
        </w:rPr>
        <w:t xml:space="preserve">, [1929] R.C.S. 200; </w:t>
      </w:r>
      <w:r w:rsidRPr="00B24801">
        <w:rPr>
          <w:i/>
          <w:iCs/>
          <w:color w:val="000000"/>
          <w:lang w:val="fr-CA"/>
        </w:rPr>
        <w:t>Canadian Pacific Railway Co. c. Corporation of the Parish of Notre Dame de Bonsecours</w:t>
      </w:r>
      <w:r w:rsidRPr="00B24801">
        <w:rPr>
          <w:iCs/>
          <w:color w:val="000000"/>
          <w:lang w:val="fr-CA"/>
        </w:rPr>
        <w:t>, [1899] A.C. 367</w:t>
      </w:r>
      <w:r w:rsidRPr="00B24801">
        <w:rPr>
          <w:color w:val="000000"/>
          <w:lang w:val="fr-CA"/>
        </w:rPr>
        <w:t xml:space="preserve">; </w:t>
      </w:r>
      <w:proofErr w:type="spellStart"/>
      <w:r w:rsidRPr="00B24801">
        <w:rPr>
          <w:i/>
          <w:iCs/>
          <w:color w:val="000000"/>
          <w:lang w:val="fr-CA"/>
        </w:rPr>
        <w:t>Northern</w:t>
      </w:r>
      <w:proofErr w:type="spellEnd"/>
      <w:r w:rsidRPr="00B24801">
        <w:rPr>
          <w:i/>
          <w:iCs/>
          <w:color w:val="000000"/>
          <w:lang w:val="fr-CA"/>
        </w:rPr>
        <w:t xml:space="preserve"> Telecom Ltée c. Travailleurs en communication du Canada</w:t>
      </w:r>
      <w:r w:rsidRPr="00B24801">
        <w:rPr>
          <w:color w:val="000000"/>
          <w:lang w:val="fr-CA"/>
        </w:rPr>
        <w:t xml:space="preserve">, [1980] 1 R.C.S. 115; </w:t>
      </w:r>
      <w:r w:rsidRPr="00B24801">
        <w:rPr>
          <w:rStyle w:val="solexhl"/>
          <w:i/>
          <w:iCs/>
          <w:color w:val="000000"/>
          <w:lang w:val="fr-CA"/>
        </w:rPr>
        <w:t>Construction Montcalm</w:t>
      </w:r>
      <w:r w:rsidRPr="00B24801">
        <w:rPr>
          <w:i/>
          <w:iCs/>
          <w:color w:val="000000"/>
          <w:lang w:val="fr-CA"/>
        </w:rPr>
        <w:t xml:space="preserve"> Inc. c. Commission du salaire minimum</w:t>
      </w:r>
      <w:r w:rsidRPr="00B24801">
        <w:rPr>
          <w:color w:val="000000"/>
          <w:lang w:val="fr-CA"/>
        </w:rPr>
        <w:t xml:space="preserve">, [1979] 1 R.C.S. 754; </w:t>
      </w:r>
      <w:r w:rsidRPr="00B24801">
        <w:rPr>
          <w:i/>
          <w:color w:val="000000"/>
          <w:lang w:val="fr-CA"/>
        </w:rPr>
        <w:t xml:space="preserve">Four B </w:t>
      </w:r>
      <w:proofErr w:type="spellStart"/>
      <w:r w:rsidRPr="00B24801">
        <w:rPr>
          <w:i/>
          <w:color w:val="000000"/>
          <w:lang w:val="fr-CA"/>
        </w:rPr>
        <w:t>Manufacturing</w:t>
      </w:r>
      <w:proofErr w:type="spellEnd"/>
      <w:r w:rsidRPr="00B24801">
        <w:rPr>
          <w:i/>
          <w:color w:val="000000"/>
          <w:lang w:val="fr-CA"/>
        </w:rPr>
        <w:t xml:space="preserve"> Ltd. c. Travailleurs unis du vêtement d’Amérique</w:t>
      </w:r>
      <w:r w:rsidRPr="00B24801">
        <w:rPr>
          <w:color w:val="000000"/>
          <w:lang w:val="fr-CA"/>
        </w:rPr>
        <w:t xml:space="preserve">, [1980] 1 R.C.S. 1031; </w:t>
      </w:r>
      <w:proofErr w:type="spellStart"/>
      <w:r w:rsidRPr="00B24801">
        <w:rPr>
          <w:i/>
          <w:color w:val="000000"/>
          <w:lang w:val="fr-CA"/>
        </w:rPr>
        <w:t>Consolidated</w:t>
      </w:r>
      <w:proofErr w:type="spellEnd"/>
      <w:r w:rsidRPr="00B24801">
        <w:rPr>
          <w:i/>
          <w:color w:val="000000"/>
          <w:lang w:val="fr-CA"/>
        </w:rPr>
        <w:t xml:space="preserve"> </w:t>
      </w:r>
      <w:proofErr w:type="spellStart"/>
      <w:r w:rsidRPr="00B24801">
        <w:rPr>
          <w:i/>
          <w:color w:val="000000"/>
          <w:lang w:val="fr-CA"/>
        </w:rPr>
        <w:t>Fastfrate</w:t>
      </w:r>
      <w:proofErr w:type="spellEnd"/>
      <w:r w:rsidRPr="00B24801">
        <w:rPr>
          <w:i/>
          <w:color w:val="000000"/>
          <w:lang w:val="fr-CA"/>
        </w:rPr>
        <w:t xml:space="preserve"> Inc. c. Western Canada Council of </w:t>
      </w:r>
      <w:proofErr w:type="spellStart"/>
      <w:r w:rsidRPr="00B24801">
        <w:rPr>
          <w:i/>
          <w:color w:val="000000"/>
          <w:lang w:val="fr-CA"/>
        </w:rPr>
        <w:t>Teamsters</w:t>
      </w:r>
      <w:proofErr w:type="spellEnd"/>
      <w:r w:rsidRPr="00B24801">
        <w:rPr>
          <w:color w:val="000000"/>
          <w:lang w:val="fr-CA"/>
        </w:rPr>
        <w:t xml:space="preserve">, </w:t>
      </w:r>
      <w:r w:rsidRPr="00B24801">
        <w:rPr>
          <w:color w:val="000000"/>
          <w:lang w:val="fr-CA"/>
        </w:rPr>
        <w:lastRenderedPageBreak/>
        <w:t xml:space="preserve">2009 CSC 53, [2009] 3 R.C.S. 407; </w:t>
      </w:r>
      <w:r w:rsidRPr="00B24801">
        <w:rPr>
          <w:i/>
          <w:color w:val="000000"/>
          <w:lang w:val="fr-CA"/>
        </w:rPr>
        <w:t xml:space="preserve">City of </w:t>
      </w:r>
      <w:proofErr w:type="spellStart"/>
      <w:r w:rsidRPr="00B24801">
        <w:rPr>
          <w:i/>
          <w:color w:val="000000"/>
          <w:lang w:val="fr-CA"/>
        </w:rPr>
        <w:t>Montreal</w:t>
      </w:r>
      <w:proofErr w:type="spellEnd"/>
      <w:r w:rsidRPr="00B24801">
        <w:rPr>
          <w:i/>
          <w:color w:val="000000"/>
          <w:lang w:val="fr-CA"/>
        </w:rPr>
        <w:t xml:space="preserve"> c. </w:t>
      </w:r>
      <w:proofErr w:type="spellStart"/>
      <w:r w:rsidRPr="00B24801">
        <w:rPr>
          <w:i/>
          <w:color w:val="000000"/>
          <w:lang w:val="fr-CA"/>
        </w:rPr>
        <w:t>Montreal</w:t>
      </w:r>
      <w:proofErr w:type="spellEnd"/>
      <w:r w:rsidRPr="00B24801">
        <w:rPr>
          <w:i/>
          <w:color w:val="000000"/>
          <w:lang w:val="fr-CA"/>
        </w:rPr>
        <w:t xml:space="preserve"> Street Railway</w:t>
      </w:r>
      <w:r w:rsidRPr="00B24801">
        <w:rPr>
          <w:color w:val="000000"/>
          <w:lang w:val="fr-CA"/>
        </w:rPr>
        <w:t xml:space="preserve">, [1912] A.C. 333; </w:t>
      </w:r>
      <w:proofErr w:type="spellStart"/>
      <w:r w:rsidRPr="00B24801">
        <w:rPr>
          <w:i/>
          <w:color w:val="000000"/>
          <w:lang w:val="fr-CA"/>
        </w:rPr>
        <w:t>Westcoast</w:t>
      </w:r>
      <w:proofErr w:type="spellEnd"/>
      <w:r w:rsidRPr="00B24801">
        <w:rPr>
          <w:i/>
          <w:color w:val="000000"/>
          <w:lang w:val="fr-CA"/>
        </w:rPr>
        <w:t xml:space="preserve"> Energy Inc. c. Canada (Office national de l’énergie)</w:t>
      </w:r>
      <w:r w:rsidRPr="00B24801">
        <w:rPr>
          <w:color w:val="000000"/>
          <w:lang w:val="fr-CA"/>
        </w:rPr>
        <w:t xml:space="preserve">, [1998] 1 R.C.S. 322; </w:t>
      </w:r>
      <w:r w:rsidRPr="00B24801">
        <w:rPr>
          <w:rStyle w:val="solexhl"/>
          <w:i/>
          <w:iCs/>
          <w:color w:val="000000"/>
          <w:lang w:val="fr-CA"/>
        </w:rPr>
        <w:t xml:space="preserve">Alberta </w:t>
      </w:r>
      <w:proofErr w:type="spellStart"/>
      <w:r w:rsidRPr="00B24801">
        <w:rPr>
          <w:rStyle w:val="solexhl"/>
          <w:i/>
          <w:iCs/>
          <w:color w:val="000000"/>
          <w:lang w:val="fr-CA"/>
        </w:rPr>
        <w:t>Government</w:t>
      </w:r>
      <w:proofErr w:type="spellEnd"/>
      <w:r w:rsidRPr="00B24801">
        <w:rPr>
          <w:rStyle w:val="solexhl"/>
          <w:i/>
          <w:iCs/>
          <w:color w:val="000000"/>
          <w:lang w:val="fr-CA"/>
        </w:rPr>
        <w:t xml:space="preserve"> </w:t>
      </w:r>
      <w:proofErr w:type="spellStart"/>
      <w:r w:rsidRPr="00B24801">
        <w:rPr>
          <w:rStyle w:val="solexhl"/>
          <w:i/>
          <w:iCs/>
          <w:color w:val="000000"/>
          <w:lang w:val="fr-CA"/>
        </w:rPr>
        <w:t>Telephones</w:t>
      </w:r>
      <w:proofErr w:type="spellEnd"/>
      <w:r w:rsidRPr="00B24801">
        <w:rPr>
          <w:i/>
          <w:iCs/>
          <w:color w:val="000000"/>
          <w:lang w:val="fr-CA"/>
        </w:rPr>
        <w:t xml:space="preserve"> c. Canada (Conseil de la radiodiffusion et des télécommunications canadiennes)</w:t>
      </w:r>
      <w:r w:rsidRPr="00B24801">
        <w:rPr>
          <w:color w:val="000000"/>
          <w:lang w:val="fr-CA"/>
        </w:rPr>
        <w:t>, [1989] 2 R.C.S. 225;</w:t>
      </w:r>
      <w:r w:rsidRPr="00B24801">
        <w:rPr>
          <w:lang w:val="fr-CA"/>
        </w:rPr>
        <w:t xml:space="preserve"> </w:t>
      </w:r>
      <w:r w:rsidRPr="00B24801">
        <w:rPr>
          <w:i/>
          <w:iCs/>
          <w:color w:val="000000"/>
          <w:lang w:val="fr-CA"/>
        </w:rPr>
        <w:t>Union des facteurs du Canada c. Syndicat des postiers du Canada</w:t>
      </w:r>
      <w:r w:rsidRPr="00B24801">
        <w:rPr>
          <w:color w:val="000000"/>
          <w:lang w:val="fr-CA"/>
        </w:rPr>
        <w:t xml:space="preserve">, [1975] 1 R.C.S. 178; </w:t>
      </w:r>
      <w:r w:rsidRPr="00B24801">
        <w:rPr>
          <w:rFonts w:ascii="CG Times" w:hAnsi="CG Times"/>
          <w:i/>
          <w:iCs/>
          <w:color w:val="000000"/>
          <w:spacing w:val="-3"/>
          <w:lang w:val="fr-CA"/>
        </w:rPr>
        <w:t>Division Shur Gain, Canada Packers Inc. c. Syndicat national des travailleurs et travailleuses de l’automobile, de l’aérospatiale et de l’outillage agricole du Canada</w:t>
      </w:r>
      <w:r w:rsidRPr="00B24801">
        <w:rPr>
          <w:rFonts w:ascii="CG Times" w:hAnsi="CG Times"/>
          <w:color w:val="000000"/>
          <w:spacing w:val="-3"/>
          <w:lang w:val="fr-CA"/>
        </w:rPr>
        <w:t xml:space="preserve">, [1992] 2 C.F. 3; </w:t>
      </w:r>
      <w:proofErr w:type="spellStart"/>
      <w:r w:rsidRPr="00B24801">
        <w:rPr>
          <w:i/>
          <w:iCs/>
          <w:szCs w:val="24"/>
          <w:lang w:val="fr-CA"/>
        </w:rPr>
        <w:t>Telecon</w:t>
      </w:r>
      <w:proofErr w:type="spellEnd"/>
      <w:r w:rsidRPr="00B24801">
        <w:rPr>
          <w:i/>
          <w:iCs/>
          <w:szCs w:val="24"/>
          <w:lang w:val="fr-CA"/>
        </w:rPr>
        <w:t xml:space="preserve"> Inc. c. International Brotherhood of </w:t>
      </w:r>
      <w:proofErr w:type="spellStart"/>
      <w:r w:rsidRPr="00B24801">
        <w:rPr>
          <w:i/>
          <w:iCs/>
          <w:szCs w:val="24"/>
          <w:lang w:val="fr-CA"/>
        </w:rPr>
        <w:t>Electrical</w:t>
      </w:r>
      <w:proofErr w:type="spellEnd"/>
      <w:r w:rsidRPr="00B24801">
        <w:rPr>
          <w:i/>
          <w:iCs/>
          <w:szCs w:val="24"/>
          <w:lang w:val="fr-CA"/>
        </w:rPr>
        <w:t xml:space="preserve"> </w:t>
      </w:r>
      <w:proofErr w:type="spellStart"/>
      <w:r w:rsidRPr="00B24801">
        <w:rPr>
          <w:i/>
          <w:iCs/>
          <w:szCs w:val="24"/>
          <w:lang w:val="fr-CA"/>
        </w:rPr>
        <w:t>Workers</w:t>
      </w:r>
      <w:proofErr w:type="spellEnd"/>
      <w:r w:rsidRPr="00B24801">
        <w:rPr>
          <w:i/>
          <w:iCs/>
          <w:szCs w:val="24"/>
          <w:lang w:val="fr-CA"/>
        </w:rPr>
        <w:t>, Local Union No. 213</w:t>
      </w:r>
      <w:r w:rsidRPr="00B24801">
        <w:rPr>
          <w:szCs w:val="24"/>
          <w:lang w:val="fr-CA"/>
        </w:rPr>
        <w:t xml:space="preserve">, 2019 CAF 244; </w:t>
      </w:r>
      <w:proofErr w:type="spellStart"/>
      <w:r w:rsidRPr="00B24801">
        <w:rPr>
          <w:i/>
          <w:szCs w:val="24"/>
          <w:lang w:val="fr-CA"/>
        </w:rPr>
        <w:t>Ramkey</w:t>
      </w:r>
      <w:proofErr w:type="spellEnd"/>
      <w:r w:rsidRPr="00B24801">
        <w:rPr>
          <w:i/>
          <w:szCs w:val="24"/>
          <w:lang w:val="fr-CA"/>
        </w:rPr>
        <w:t xml:space="preserve"> Communications Inc. c. </w:t>
      </w:r>
      <w:proofErr w:type="spellStart"/>
      <w:r w:rsidRPr="00B24801">
        <w:rPr>
          <w:i/>
          <w:szCs w:val="24"/>
          <w:lang w:val="fr-CA"/>
        </w:rPr>
        <w:t>Labourers</w:t>
      </w:r>
      <w:proofErr w:type="spellEnd"/>
      <w:r w:rsidRPr="00B24801">
        <w:rPr>
          <w:i/>
          <w:szCs w:val="24"/>
          <w:lang w:val="fr-CA"/>
        </w:rPr>
        <w:t>’ International Union of North America</w:t>
      </w:r>
      <w:r w:rsidRPr="00B24801">
        <w:rPr>
          <w:szCs w:val="24"/>
          <w:lang w:val="fr-CA"/>
        </w:rPr>
        <w:t>, 2019 ONCA 859, 149 O.R. (3d) 1.</w:t>
      </w:r>
    </w:p>
    <w:p w14:paraId="2CC7BBE5" w14:textId="77777777" w:rsidR="001162C6" w:rsidRPr="00B24801" w:rsidRDefault="00167D15">
      <w:pPr>
        <w:pStyle w:val="SCCNormalDoubleSpacing"/>
        <w:widowControl w:val="0"/>
        <w:spacing w:after="720" w:line="240" w:lineRule="auto"/>
        <w:rPr>
          <w:lang w:val="fr-CA"/>
        </w:rPr>
      </w:pPr>
      <w:r w:rsidRPr="00B24801">
        <w:rPr>
          <w:lang w:val="fr-CA"/>
        </w:rPr>
        <w:t>Citée par le juge Kasirer</w:t>
      </w:r>
      <w:r w:rsidR="00F912BA" w:rsidRPr="00B24801">
        <w:rPr>
          <w:lang w:val="fr-CA"/>
        </w:rPr>
        <w:t xml:space="preserve"> (dissident)</w:t>
      </w:r>
    </w:p>
    <w:p w14:paraId="057FFDB6" w14:textId="77777777" w:rsidR="001162C6" w:rsidRPr="00B24801" w:rsidRDefault="00167D15">
      <w:pPr>
        <w:pStyle w:val="SCCNormalDoubleSpacing"/>
        <w:widowControl w:val="0"/>
        <w:spacing w:after="480"/>
        <w:rPr>
          <w:lang w:val="fr-FR"/>
        </w:rPr>
      </w:pPr>
      <w:r w:rsidRPr="00B24801">
        <w:rPr>
          <w:lang w:val="fr-CA"/>
        </w:rPr>
        <w:tab/>
      </w:r>
      <w:r w:rsidRPr="00B24801">
        <w:rPr>
          <w:i/>
          <w:color w:val="000000"/>
          <w:lang w:val="fr-CA"/>
        </w:rPr>
        <w:t>Construction Montcalm Inc. c. Commission du salaire minimum</w:t>
      </w:r>
      <w:r w:rsidRPr="00B24801">
        <w:rPr>
          <w:color w:val="000000"/>
          <w:lang w:val="fr-CA"/>
        </w:rPr>
        <w:t>, [1979] 1 R.C.S. 754;</w:t>
      </w:r>
      <w:r w:rsidRPr="00B24801">
        <w:rPr>
          <w:i/>
          <w:lang w:val="fr-FR"/>
        </w:rPr>
        <w:t xml:space="preserve"> Toronto Electric </w:t>
      </w:r>
      <w:proofErr w:type="spellStart"/>
      <w:r w:rsidRPr="00B24801">
        <w:rPr>
          <w:i/>
          <w:lang w:val="fr-FR"/>
        </w:rPr>
        <w:t>Com’rs</w:t>
      </w:r>
      <w:proofErr w:type="spellEnd"/>
      <w:r w:rsidRPr="00B24801">
        <w:rPr>
          <w:i/>
          <w:lang w:val="fr-FR"/>
        </w:rPr>
        <w:t xml:space="preserve"> c. Snider</w:t>
      </w:r>
      <w:r w:rsidRPr="00B24801">
        <w:rPr>
          <w:lang w:val="fr-FR"/>
        </w:rPr>
        <w:t>, [1925] 2 D.L.R. 5;</w:t>
      </w:r>
      <w:r w:rsidRPr="00B24801">
        <w:rPr>
          <w:i/>
          <w:iCs/>
          <w:color w:val="000000"/>
          <w:lang w:val="fr-CA"/>
        </w:rPr>
        <w:t xml:space="preserve"> Tessier Ltée c. Québec (Commission de la santé et de la sécurité du travail)</w:t>
      </w:r>
      <w:r w:rsidRPr="00B24801">
        <w:rPr>
          <w:color w:val="000000"/>
          <w:lang w:val="fr-CA"/>
        </w:rPr>
        <w:t>, 2012 CSC 23, [2012] 2 R.C.S. 3;</w:t>
      </w:r>
      <w:r w:rsidRPr="00B24801">
        <w:rPr>
          <w:i/>
          <w:iCs/>
          <w:color w:val="000000"/>
          <w:lang w:val="fr-CA"/>
        </w:rPr>
        <w:t xml:space="preserve"> Reference re </w:t>
      </w:r>
      <w:proofErr w:type="spellStart"/>
      <w:r w:rsidRPr="00B24801">
        <w:rPr>
          <w:i/>
          <w:iCs/>
          <w:color w:val="000000"/>
          <w:lang w:val="fr-CA"/>
        </w:rPr>
        <w:t>Industrial</w:t>
      </w:r>
      <w:proofErr w:type="spellEnd"/>
      <w:r w:rsidRPr="00B24801">
        <w:rPr>
          <w:i/>
          <w:iCs/>
          <w:color w:val="000000"/>
          <w:lang w:val="fr-CA"/>
        </w:rPr>
        <w:t xml:space="preserve"> Relations and Disputes Investigation </w:t>
      </w:r>
      <w:proofErr w:type="spellStart"/>
      <w:r w:rsidRPr="00B24801">
        <w:rPr>
          <w:i/>
          <w:iCs/>
          <w:color w:val="000000"/>
          <w:lang w:val="fr-CA"/>
        </w:rPr>
        <w:t>Act</w:t>
      </w:r>
      <w:proofErr w:type="spellEnd"/>
      <w:r w:rsidRPr="00B24801">
        <w:rPr>
          <w:color w:val="000000"/>
          <w:lang w:val="fr-CA"/>
        </w:rPr>
        <w:t>, [1955] R.C.S. 529;</w:t>
      </w:r>
      <w:r w:rsidRPr="00B24801">
        <w:rPr>
          <w:i/>
          <w:iCs/>
          <w:color w:val="000000"/>
          <w:lang w:val="fr-FR"/>
        </w:rPr>
        <w:t xml:space="preserve"> Renvoi relatif à la sécession du Québec</w:t>
      </w:r>
      <w:r w:rsidRPr="00B24801">
        <w:rPr>
          <w:color w:val="000000"/>
          <w:lang w:val="fr-FR"/>
        </w:rPr>
        <w:t xml:space="preserve">, [1998] 2 R.C.S. 217; </w:t>
      </w:r>
      <w:r w:rsidRPr="00B24801">
        <w:rPr>
          <w:i/>
          <w:szCs w:val="24"/>
          <w:lang w:val="fr-FR"/>
        </w:rPr>
        <w:t>Renvois relatifs à la Loi sur la tarification de la pollution causée par les gaz à effet de serre</w:t>
      </w:r>
      <w:r w:rsidRPr="00B24801">
        <w:rPr>
          <w:szCs w:val="24"/>
          <w:lang w:val="fr-FR"/>
        </w:rPr>
        <w:t>, 2021 CSC 11, [2021] 1 R.C.S. 175</w:t>
      </w:r>
      <w:r w:rsidRPr="00B24801">
        <w:rPr>
          <w:color w:val="000000"/>
          <w:lang w:val="fr-FR"/>
        </w:rPr>
        <w:t>;</w:t>
      </w:r>
      <w:r w:rsidRPr="00B24801">
        <w:rPr>
          <w:i/>
          <w:lang w:val="fr-FR"/>
        </w:rPr>
        <w:t xml:space="preserve"> Ontario Hydro c. Ontario (Commission des relations de travail)</w:t>
      </w:r>
      <w:r w:rsidRPr="00B24801">
        <w:rPr>
          <w:lang w:val="fr-FR"/>
        </w:rPr>
        <w:t xml:space="preserve">, [1993] 3 R.C.S. 327; </w:t>
      </w:r>
      <w:r w:rsidRPr="00B24801">
        <w:rPr>
          <w:i/>
          <w:lang w:val="fr-FR"/>
        </w:rPr>
        <w:t>Travailleurs unis des transports c. Central Western Railway Corp.</w:t>
      </w:r>
      <w:r w:rsidRPr="00B24801">
        <w:rPr>
          <w:lang w:val="fr-FR"/>
        </w:rPr>
        <w:t>, [1990] 3 R.C.S. 1112;</w:t>
      </w:r>
      <w:r w:rsidRPr="00B24801">
        <w:rPr>
          <w:i/>
          <w:lang w:val="fr-FR"/>
        </w:rPr>
        <w:t xml:space="preserve"> </w:t>
      </w:r>
      <w:proofErr w:type="spellStart"/>
      <w:r w:rsidRPr="00B24801">
        <w:rPr>
          <w:i/>
          <w:lang w:val="fr-FR"/>
        </w:rPr>
        <w:t>Consolidated</w:t>
      </w:r>
      <w:proofErr w:type="spellEnd"/>
      <w:r w:rsidRPr="00B24801">
        <w:rPr>
          <w:i/>
          <w:lang w:val="fr-FR"/>
        </w:rPr>
        <w:t xml:space="preserve"> </w:t>
      </w:r>
      <w:proofErr w:type="spellStart"/>
      <w:r w:rsidRPr="00B24801">
        <w:rPr>
          <w:i/>
          <w:lang w:val="fr-FR"/>
        </w:rPr>
        <w:t>Fastfrate</w:t>
      </w:r>
      <w:proofErr w:type="spellEnd"/>
      <w:r w:rsidRPr="00B24801">
        <w:rPr>
          <w:i/>
          <w:lang w:val="fr-FR"/>
        </w:rPr>
        <w:t xml:space="preserve"> Inc. c. Western Canada Council of </w:t>
      </w:r>
      <w:proofErr w:type="spellStart"/>
      <w:r w:rsidRPr="00B24801">
        <w:rPr>
          <w:i/>
          <w:lang w:val="fr-FR"/>
        </w:rPr>
        <w:t>Teamsters</w:t>
      </w:r>
      <w:proofErr w:type="spellEnd"/>
      <w:r w:rsidRPr="00B24801">
        <w:rPr>
          <w:lang w:val="fr-FR"/>
        </w:rPr>
        <w:t xml:space="preserve">, 2009 CSC 53, [2009] 3 R.C.S. 407; </w:t>
      </w:r>
      <w:proofErr w:type="spellStart"/>
      <w:r w:rsidRPr="00B24801">
        <w:rPr>
          <w:i/>
          <w:lang w:val="fr-FR"/>
        </w:rPr>
        <w:t>Westcoast</w:t>
      </w:r>
      <w:proofErr w:type="spellEnd"/>
      <w:r w:rsidRPr="00B24801">
        <w:rPr>
          <w:i/>
          <w:lang w:val="fr-FR"/>
        </w:rPr>
        <w:t xml:space="preserve"> Energy </w:t>
      </w:r>
      <w:r w:rsidRPr="00B24801">
        <w:rPr>
          <w:i/>
          <w:lang w:val="fr-FR"/>
        </w:rPr>
        <w:lastRenderedPageBreak/>
        <w:t>Inc. c. Canada (Office national de l’énergie)</w:t>
      </w:r>
      <w:r w:rsidRPr="00B24801">
        <w:rPr>
          <w:lang w:val="fr-FR"/>
        </w:rPr>
        <w:t>, [1998] 1 R.C.S. 322;</w:t>
      </w:r>
      <w:r w:rsidRPr="00B24801">
        <w:rPr>
          <w:i/>
          <w:lang w:val="fr-CA"/>
        </w:rPr>
        <w:t xml:space="preserve"> </w:t>
      </w:r>
      <w:proofErr w:type="spellStart"/>
      <w:r w:rsidRPr="00B24801">
        <w:rPr>
          <w:i/>
          <w:lang w:val="fr-CA"/>
        </w:rPr>
        <w:t>Northern</w:t>
      </w:r>
      <w:proofErr w:type="spellEnd"/>
      <w:r w:rsidRPr="00B24801">
        <w:rPr>
          <w:i/>
          <w:lang w:val="fr-CA"/>
        </w:rPr>
        <w:t xml:space="preserve"> Telecom Canada Ltée c. Syndicat des travailleurs en communication du Canada</w:t>
      </w:r>
      <w:r w:rsidRPr="00B24801">
        <w:rPr>
          <w:lang w:val="fr-CA"/>
        </w:rPr>
        <w:t xml:space="preserve">, [1983] 1 R.C.S. 733; </w:t>
      </w:r>
      <w:r w:rsidRPr="00B24801">
        <w:rPr>
          <w:i/>
          <w:lang w:val="fr-FR"/>
        </w:rPr>
        <w:t xml:space="preserve">Commission de la santé et de la sécurité du travail c. Transit Du Roy </w:t>
      </w:r>
      <w:proofErr w:type="spellStart"/>
      <w:r w:rsidRPr="00B24801">
        <w:rPr>
          <w:i/>
          <w:lang w:val="fr-FR"/>
        </w:rPr>
        <w:t>inc.</w:t>
      </w:r>
      <w:proofErr w:type="spellEnd"/>
      <w:r w:rsidRPr="00B24801">
        <w:rPr>
          <w:lang w:val="fr-FR"/>
        </w:rPr>
        <w:t xml:space="preserve">, 2014 QCCA 278; </w:t>
      </w:r>
      <w:r w:rsidRPr="00B24801">
        <w:rPr>
          <w:i/>
          <w:lang w:val="fr-CA"/>
        </w:rPr>
        <w:t>Reference re Waters and Water-Powers</w:t>
      </w:r>
      <w:r w:rsidRPr="00B24801">
        <w:rPr>
          <w:lang w:val="fr-CA"/>
        </w:rPr>
        <w:t>, [1929] R.C.S. 200;</w:t>
      </w:r>
      <w:r w:rsidRPr="00B24801">
        <w:rPr>
          <w:i/>
          <w:lang w:val="fr-FR"/>
        </w:rPr>
        <w:t xml:space="preserve"> City of </w:t>
      </w:r>
      <w:proofErr w:type="spellStart"/>
      <w:r w:rsidRPr="00B24801">
        <w:rPr>
          <w:i/>
          <w:lang w:val="fr-FR"/>
        </w:rPr>
        <w:t>Montreal</w:t>
      </w:r>
      <w:proofErr w:type="spellEnd"/>
      <w:r w:rsidRPr="00B24801">
        <w:rPr>
          <w:i/>
          <w:lang w:val="fr-FR"/>
        </w:rPr>
        <w:t xml:space="preserve"> c. </w:t>
      </w:r>
      <w:proofErr w:type="spellStart"/>
      <w:r w:rsidRPr="00B24801">
        <w:rPr>
          <w:i/>
          <w:lang w:val="fr-FR"/>
        </w:rPr>
        <w:t>Montreal</w:t>
      </w:r>
      <w:proofErr w:type="spellEnd"/>
      <w:r w:rsidRPr="00B24801">
        <w:rPr>
          <w:i/>
          <w:lang w:val="fr-FR"/>
        </w:rPr>
        <w:t xml:space="preserve"> Street Railway</w:t>
      </w:r>
      <w:r w:rsidRPr="00B24801">
        <w:rPr>
          <w:lang w:val="fr-FR"/>
        </w:rPr>
        <w:t>, [1912] A.C. 333;</w:t>
      </w:r>
      <w:r w:rsidRPr="00B24801">
        <w:rPr>
          <w:i/>
          <w:lang w:val="fr-FR"/>
        </w:rPr>
        <w:t xml:space="preserve"> In Re </w:t>
      </w:r>
      <w:proofErr w:type="spellStart"/>
      <w:r w:rsidRPr="00B24801">
        <w:rPr>
          <w:i/>
          <w:lang w:val="fr-FR"/>
        </w:rPr>
        <w:t>Companies</w:t>
      </w:r>
      <w:proofErr w:type="spellEnd"/>
      <w:r w:rsidRPr="00B24801">
        <w:rPr>
          <w:lang w:val="fr-FR"/>
        </w:rPr>
        <w:t xml:space="preserve"> (1913), 48 R.C.S. 331; </w:t>
      </w:r>
      <w:r w:rsidRPr="00B24801">
        <w:rPr>
          <w:i/>
          <w:lang w:val="fr-FR"/>
        </w:rPr>
        <w:t>Kerley c. London and Lake Erie Railway and Transportation Co.</w:t>
      </w:r>
      <w:r w:rsidRPr="00B24801">
        <w:rPr>
          <w:lang w:val="fr-FR"/>
        </w:rPr>
        <w:t xml:space="preserve"> (1913), 13 D.L.R. 365; </w:t>
      </w:r>
      <w:r w:rsidRPr="00B24801">
        <w:rPr>
          <w:i/>
          <w:lang w:val="fr-FR"/>
        </w:rPr>
        <w:t>Jorgenson c. Procureur général du Canada</w:t>
      </w:r>
      <w:r w:rsidRPr="00B24801">
        <w:rPr>
          <w:lang w:val="fr-FR"/>
        </w:rPr>
        <w:t xml:space="preserve">, [1971] R.C.S. 725; </w:t>
      </w:r>
      <w:proofErr w:type="spellStart"/>
      <w:r w:rsidRPr="00B24801">
        <w:rPr>
          <w:i/>
          <w:lang w:val="fr-FR"/>
        </w:rPr>
        <w:t>Luscar</w:t>
      </w:r>
      <w:proofErr w:type="spellEnd"/>
      <w:r w:rsidRPr="00B24801">
        <w:rPr>
          <w:i/>
          <w:lang w:val="fr-FR"/>
        </w:rPr>
        <w:t xml:space="preserve"> </w:t>
      </w:r>
      <w:proofErr w:type="spellStart"/>
      <w:r w:rsidRPr="00B24801">
        <w:rPr>
          <w:i/>
          <w:lang w:val="fr-FR"/>
        </w:rPr>
        <w:t>Collieries</w:t>
      </w:r>
      <w:proofErr w:type="spellEnd"/>
      <w:r w:rsidRPr="00B24801">
        <w:rPr>
          <w:i/>
          <w:lang w:val="fr-FR"/>
        </w:rPr>
        <w:t xml:space="preserve"> Ltd. c. McDonald</w:t>
      </w:r>
      <w:r w:rsidRPr="00B24801">
        <w:rPr>
          <w:lang w:val="fr-FR"/>
        </w:rPr>
        <w:t xml:space="preserve">, [1925] R.C.S. 460; </w:t>
      </w:r>
      <w:r w:rsidRPr="00B24801">
        <w:rPr>
          <w:i/>
          <w:color w:val="000000"/>
          <w:lang w:val="fr-FR"/>
        </w:rPr>
        <w:t>R. c. Comeau</w:t>
      </w:r>
      <w:r w:rsidRPr="00B24801">
        <w:rPr>
          <w:color w:val="000000"/>
          <w:lang w:val="fr-FR"/>
        </w:rPr>
        <w:t xml:space="preserve">, </w:t>
      </w:r>
      <w:bookmarkStart w:id="6" w:name="_Hlk239770615"/>
      <w:r w:rsidRPr="00B24801">
        <w:rPr>
          <w:color w:val="000000"/>
          <w:lang w:val="fr-FR"/>
        </w:rPr>
        <w:t>2018 CSC 15, [2018] 1 R.C.S. 342</w:t>
      </w:r>
      <w:bookmarkEnd w:id="6"/>
      <w:r w:rsidRPr="00B24801">
        <w:rPr>
          <w:color w:val="000000"/>
          <w:lang w:val="fr-FR"/>
        </w:rPr>
        <w:t>;</w:t>
      </w:r>
      <w:r w:rsidRPr="00B24801">
        <w:rPr>
          <w:i/>
          <w:lang w:val="fr-FR"/>
        </w:rPr>
        <w:t xml:space="preserve"> Renvoi relatif à la Loi sur les valeurs mobilières</w:t>
      </w:r>
      <w:r w:rsidRPr="00B24801">
        <w:rPr>
          <w:lang w:val="fr-FR"/>
        </w:rPr>
        <w:t xml:space="preserve">, 2011 CSC 66, [2011] 3 R.C.S. 837; </w:t>
      </w:r>
      <w:r w:rsidRPr="00B24801">
        <w:rPr>
          <w:i/>
          <w:iCs/>
          <w:color w:val="000000"/>
          <w:lang w:val="fr-FR"/>
        </w:rPr>
        <w:t>Renvoi relatif à la Loi sur la procréation assistée</w:t>
      </w:r>
      <w:r w:rsidRPr="00B24801">
        <w:rPr>
          <w:color w:val="000000"/>
          <w:lang w:val="fr-FR"/>
        </w:rPr>
        <w:t xml:space="preserve">, 2010 CSC 61, [2010] 3 R.C.S. 457; </w:t>
      </w:r>
      <w:r w:rsidRPr="00B24801">
        <w:rPr>
          <w:i/>
          <w:lang w:val="fr-FR"/>
        </w:rPr>
        <w:t>Bell Canada c. Québec (Commission de la santé et de la sécurité du travail)</w:t>
      </w:r>
      <w:r w:rsidRPr="00B24801">
        <w:rPr>
          <w:lang w:val="fr-FR"/>
        </w:rPr>
        <w:t>, [1988] 1 R.C.S. 749;</w:t>
      </w:r>
      <w:r w:rsidRPr="00B24801">
        <w:rPr>
          <w:i/>
          <w:lang w:val="fr-FR"/>
        </w:rPr>
        <w:t xml:space="preserve"> Reference re Weekly Rest in </w:t>
      </w:r>
      <w:proofErr w:type="spellStart"/>
      <w:r w:rsidRPr="00B24801">
        <w:rPr>
          <w:i/>
          <w:lang w:val="fr-FR"/>
        </w:rPr>
        <w:t>Industrial</w:t>
      </w:r>
      <w:proofErr w:type="spellEnd"/>
      <w:r w:rsidRPr="00B24801">
        <w:rPr>
          <w:i/>
          <w:lang w:val="fr-FR"/>
        </w:rPr>
        <w:t xml:space="preserve"> </w:t>
      </w:r>
      <w:proofErr w:type="spellStart"/>
      <w:r w:rsidRPr="00B24801">
        <w:rPr>
          <w:i/>
          <w:lang w:val="fr-FR"/>
        </w:rPr>
        <w:t>Undertakings</w:t>
      </w:r>
      <w:proofErr w:type="spellEnd"/>
      <w:r w:rsidRPr="00B24801">
        <w:rPr>
          <w:i/>
          <w:lang w:val="fr-FR"/>
        </w:rPr>
        <w:t xml:space="preserve"> </w:t>
      </w:r>
      <w:proofErr w:type="spellStart"/>
      <w:r w:rsidRPr="00B24801">
        <w:rPr>
          <w:i/>
          <w:lang w:val="fr-FR"/>
        </w:rPr>
        <w:t>Act</w:t>
      </w:r>
      <w:proofErr w:type="spellEnd"/>
      <w:r w:rsidRPr="00B24801">
        <w:rPr>
          <w:i/>
          <w:lang w:val="fr-FR"/>
        </w:rPr>
        <w:t xml:space="preserve">, Minimum Wages </w:t>
      </w:r>
      <w:proofErr w:type="spellStart"/>
      <w:r w:rsidRPr="00B24801">
        <w:rPr>
          <w:i/>
          <w:lang w:val="fr-FR"/>
        </w:rPr>
        <w:t>Act</w:t>
      </w:r>
      <w:proofErr w:type="spellEnd"/>
      <w:r w:rsidRPr="00B24801">
        <w:rPr>
          <w:i/>
          <w:lang w:val="fr-FR"/>
        </w:rPr>
        <w:t xml:space="preserve"> and Limitation of </w:t>
      </w:r>
      <w:proofErr w:type="spellStart"/>
      <w:r w:rsidRPr="00B24801">
        <w:rPr>
          <w:i/>
          <w:lang w:val="fr-FR"/>
        </w:rPr>
        <w:t>Hours</w:t>
      </w:r>
      <w:proofErr w:type="spellEnd"/>
      <w:r w:rsidRPr="00B24801">
        <w:rPr>
          <w:i/>
          <w:lang w:val="fr-FR"/>
        </w:rPr>
        <w:t xml:space="preserve"> of Work </w:t>
      </w:r>
      <w:proofErr w:type="spellStart"/>
      <w:r w:rsidRPr="00B24801">
        <w:rPr>
          <w:i/>
          <w:lang w:val="fr-FR"/>
        </w:rPr>
        <w:t>Act</w:t>
      </w:r>
      <w:proofErr w:type="spellEnd"/>
      <w:r w:rsidRPr="00B24801">
        <w:rPr>
          <w:lang w:val="fr-FR"/>
        </w:rPr>
        <w:t xml:space="preserve">, [1937] 1 D.L.R. 673; </w:t>
      </w:r>
      <w:r w:rsidRPr="00B24801">
        <w:rPr>
          <w:i/>
          <w:lang w:val="fr-FR"/>
        </w:rPr>
        <w:t>Agence Maritime Inc. c. Conseil canadien des relations ouvrières</w:t>
      </w:r>
      <w:r w:rsidRPr="00B24801">
        <w:rPr>
          <w:lang w:val="fr-FR"/>
        </w:rPr>
        <w:t>, [1969] R.C.S. 851;</w:t>
      </w:r>
      <w:r w:rsidRPr="00B24801">
        <w:rPr>
          <w:i/>
          <w:lang w:val="fr-FR"/>
        </w:rPr>
        <w:t xml:space="preserve"> NIL/TU,O Child and Family Services Society c. B.C. </w:t>
      </w:r>
      <w:proofErr w:type="spellStart"/>
      <w:r w:rsidRPr="00B24801">
        <w:rPr>
          <w:i/>
          <w:lang w:val="fr-FR"/>
        </w:rPr>
        <w:t>Government</w:t>
      </w:r>
      <w:proofErr w:type="spellEnd"/>
      <w:r w:rsidRPr="00B24801">
        <w:rPr>
          <w:i/>
          <w:lang w:val="fr-FR"/>
        </w:rPr>
        <w:t xml:space="preserve"> and Service </w:t>
      </w:r>
      <w:proofErr w:type="spellStart"/>
      <w:r w:rsidRPr="00B24801">
        <w:rPr>
          <w:i/>
          <w:lang w:val="fr-FR"/>
        </w:rPr>
        <w:t>Employees</w:t>
      </w:r>
      <w:proofErr w:type="spellEnd"/>
      <w:r w:rsidRPr="00B24801">
        <w:rPr>
          <w:i/>
          <w:lang w:val="fr-FR"/>
        </w:rPr>
        <w:t>’ Union</w:t>
      </w:r>
      <w:r w:rsidRPr="00B24801">
        <w:rPr>
          <w:lang w:val="fr-FR"/>
        </w:rPr>
        <w:t>, 2010 CSC 45, [2010] 2 R.C.S. 696;</w:t>
      </w:r>
      <w:r w:rsidRPr="00B24801">
        <w:rPr>
          <w:i/>
          <w:lang w:val="fr-FR"/>
        </w:rPr>
        <w:t xml:space="preserve"> </w:t>
      </w:r>
      <w:proofErr w:type="spellStart"/>
      <w:r w:rsidRPr="00B24801">
        <w:rPr>
          <w:i/>
          <w:lang w:val="fr-FR"/>
        </w:rPr>
        <w:t>Northern</w:t>
      </w:r>
      <w:proofErr w:type="spellEnd"/>
      <w:r w:rsidRPr="00B24801">
        <w:rPr>
          <w:i/>
          <w:lang w:val="fr-FR"/>
        </w:rPr>
        <w:t xml:space="preserve"> Telecom Ltée c. Travailleurs en communication du Canada</w:t>
      </w:r>
      <w:r w:rsidRPr="00B24801">
        <w:rPr>
          <w:lang w:val="fr-FR"/>
        </w:rPr>
        <w:t xml:space="preserve">, [1980] 1 R.C.S. 115; </w:t>
      </w:r>
      <w:r w:rsidRPr="00B24801">
        <w:rPr>
          <w:i/>
          <w:iCs/>
          <w:color w:val="000000"/>
          <w:lang w:val="fr-FR"/>
        </w:rPr>
        <w:t>Union des facteurs du Canada c. Syndicat des postiers du Canada</w:t>
      </w:r>
      <w:r w:rsidRPr="00B24801">
        <w:rPr>
          <w:color w:val="000000"/>
          <w:lang w:val="fr-FR"/>
        </w:rPr>
        <w:t>, [1975] 1 R.C.S. 178;</w:t>
      </w:r>
      <w:r w:rsidRPr="00B24801">
        <w:rPr>
          <w:i/>
          <w:lang w:val="fr-FR"/>
        </w:rPr>
        <w:t xml:space="preserve"> Kitimat, Terrace and District General </w:t>
      </w:r>
      <w:proofErr w:type="spellStart"/>
      <w:r w:rsidRPr="00B24801">
        <w:rPr>
          <w:i/>
          <w:lang w:val="fr-FR"/>
        </w:rPr>
        <w:t>Workers</w:t>
      </w:r>
      <w:proofErr w:type="spellEnd"/>
      <w:r w:rsidRPr="00B24801">
        <w:rPr>
          <w:i/>
          <w:lang w:val="fr-FR"/>
        </w:rPr>
        <w:t>’ Union, Local 1583 c. Bank of Nova Scotia</w:t>
      </w:r>
      <w:r w:rsidRPr="00B24801">
        <w:rPr>
          <w:lang w:val="fr-FR"/>
        </w:rPr>
        <w:t xml:space="preserve"> (1959), 59 C.L.L.C. 18,152;</w:t>
      </w:r>
      <w:r w:rsidRPr="00B24801">
        <w:rPr>
          <w:i/>
          <w:lang w:val="fr-FR"/>
        </w:rPr>
        <w:t xml:space="preserve"> Winsor c. </w:t>
      </w:r>
      <w:proofErr w:type="spellStart"/>
      <w:r w:rsidRPr="00B24801">
        <w:rPr>
          <w:i/>
          <w:lang w:val="fr-FR"/>
        </w:rPr>
        <w:t>Scotian</w:t>
      </w:r>
      <w:proofErr w:type="spellEnd"/>
      <w:r w:rsidRPr="00B24801">
        <w:rPr>
          <w:i/>
          <w:lang w:val="fr-FR"/>
        </w:rPr>
        <w:t xml:space="preserve"> Shelf Traders Limited</w:t>
      </w:r>
      <w:r w:rsidRPr="00B24801">
        <w:rPr>
          <w:lang w:val="fr-FR"/>
        </w:rPr>
        <w:t xml:space="preserve"> (1983), 83 C.L.L.C. 16,070;</w:t>
      </w:r>
      <w:r w:rsidRPr="00B24801">
        <w:rPr>
          <w:i/>
          <w:lang w:val="fr-FR"/>
        </w:rPr>
        <w:t xml:space="preserve"> Kelowna (City) c. British Columbia (Labour Relations </w:t>
      </w:r>
      <w:proofErr w:type="spellStart"/>
      <w:r w:rsidRPr="00B24801">
        <w:rPr>
          <w:i/>
          <w:lang w:val="fr-FR"/>
        </w:rPr>
        <w:t>Board</w:t>
      </w:r>
      <w:proofErr w:type="spellEnd"/>
      <w:r w:rsidRPr="00B24801">
        <w:rPr>
          <w:i/>
          <w:lang w:val="fr-FR"/>
        </w:rPr>
        <w:t>)</w:t>
      </w:r>
      <w:r w:rsidRPr="00B24801">
        <w:rPr>
          <w:lang w:val="fr-FR"/>
        </w:rPr>
        <w:t xml:space="preserve"> (1974), 42 D.L.R. (3d) 754;</w:t>
      </w:r>
      <w:r w:rsidRPr="00B24801">
        <w:rPr>
          <w:i/>
          <w:lang w:val="fr-FR"/>
        </w:rPr>
        <w:t xml:space="preserve"> Attorney General for Ontario c. Winner</w:t>
      </w:r>
      <w:r w:rsidRPr="00B24801">
        <w:rPr>
          <w:lang w:val="fr-FR"/>
        </w:rPr>
        <w:t>, [1954] 4 D.L.R. 657;</w:t>
      </w:r>
      <w:r w:rsidRPr="00B24801">
        <w:rPr>
          <w:i/>
          <w:lang w:val="fr-FR"/>
        </w:rPr>
        <w:t xml:space="preserve"> Winner c. S.M.T. (Eastern) Ltd.</w:t>
      </w:r>
      <w:r w:rsidRPr="00B24801">
        <w:rPr>
          <w:lang w:val="fr-FR"/>
        </w:rPr>
        <w:t>, [1951] R.C.S. 887;</w:t>
      </w:r>
      <w:r w:rsidRPr="00B24801">
        <w:rPr>
          <w:i/>
          <w:lang w:val="fr-FR"/>
        </w:rPr>
        <w:t xml:space="preserve"> Re </w:t>
      </w:r>
      <w:proofErr w:type="spellStart"/>
      <w:r w:rsidRPr="00B24801">
        <w:rPr>
          <w:i/>
          <w:lang w:val="fr-FR"/>
        </w:rPr>
        <w:t>Regulation</w:t>
      </w:r>
      <w:proofErr w:type="spellEnd"/>
      <w:r w:rsidRPr="00B24801">
        <w:rPr>
          <w:i/>
          <w:lang w:val="fr-FR"/>
        </w:rPr>
        <w:t xml:space="preserve"> &amp; Control of Radio Communication</w:t>
      </w:r>
      <w:r w:rsidRPr="00B24801">
        <w:rPr>
          <w:lang w:val="fr-FR"/>
        </w:rPr>
        <w:t xml:space="preserve">, </w:t>
      </w:r>
      <w:r w:rsidRPr="00B24801">
        <w:rPr>
          <w:lang w:val="fr-FR"/>
        </w:rPr>
        <w:lastRenderedPageBreak/>
        <w:t xml:space="preserve">[1932] 2 D.L.R. 81; </w:t>
      </w:r>
      <w:r w:rsidRPr="00B24801">
        <w:rPr>
          <w:i/>
          <w:lang w:val="fr-FR"/>
        </w:rPr>
        <w:t>U.E.S., Local 298 c. Bibeault</w:t>
      </w:r>
      <w:r w:rsidRPr="00B24801">
        <w:rPr>
          <w:lang w:val="fr-FR"/>
        </w:rPr>
        <w:t>, [1988] 2 R.C.S. 1048;</w:t>
      </w:r>
      <w:r w:rsidRPr="00B24801">
        <w:rPr>
          <w:i/>
          <w:lang w:val="fr-FR"/>
        </w:rPr>
        <w:t xml:space="preserve"> Mode Amazone c. Comité conjoint de Montréal de l’Union internationale des ouvriers du vêtement pour dames</w:t>
      </w:r>
      <w:r w:rsidRPr="00B24801">
        <w:rPr>
          <w:lang w:val="fr-FR"/>
        </w:rPr>
        <w:t xml:space="preserve">, [1983] T.T. 227; </w:t>
      </w:r>
      <w:proofErr w:type="spellStart"/>
      <w:r w:rsidRPr="00B24801">
        <w:rPr>
          <w:i/>
          <w:lang w:val="fr-FR"/>
        </w:rPr>
        <w:t>Chamney</w:t>
      </w:r>
      <w:proofErr w:type="spellEnd"/>
      <w:r w:rsidRPr="00B24801">
        <w:rPr>
          <w:i/>
          <w:lang w:val="fr-FR"/>
        </w:rPr>
        <w:t xml:space="preserve"> c. La Reine</w:t>
      </w:r>
      <w:r w:rsidRPr="00B24801">
        <w:rPr>
          <w:lang w:val="fr-FR"/>
        </w:rPr>
        <w:t xml:space="preserve">, [1975] 2 R.C.S. </w:t>
      </w:r>
      <w:proofErr w:type="gramStart"/>
      <w:r w:rsidRPr="00B24801">
        <w:rPr>
          <w:lang w:val="fr-FR"/>
        </w:rPr>
        <w:t>151;</w:t>
      </w:r>
      <w:proofErr w:type="gramEnd"/>
      <w:r w:rsidRPr="00B24801">
        <w:rPr>
          <w:i/>
          <w:lang w:val="fr-FR"/>
        </w:rPr>
        <w:t xml:space="preserve"> </w:t>
      </w:r>
      <w:bookmarkStart w:id="7" w:name="_Hlk244085366"/>
      <w:r w:rsidRPr="00B24801">
        <w:rPr>
          <w:i/>
          <w:lang w:val="fr-FR"/>
        </w:rPr>
        <w:t>Canadian Pacific Railway Co. c. Attorney-General for British Columbia</w:t>
      </w:r>
      <w:r w:rsidRPr="00B24801">
        <w:rPr>
          <w:lang w:val="fr-FR"/>
        </w:rPr>
        <w:t xml:space="preserve">, [1950] A.C. </w:t>
      </w:r>
      <w:proofErr w:type="gramStart"/>
      <w:r w:rsidRPr="00B24801">
        <w:rPr>
          <w:lang w:val="fr-FR"/>
        </w:rPr>
        <w:t>122</w:t>
      </w:r>
      <w:bookmarkEnd w:id="7"/>
      <w:r w:rsidRPr="00B24801">
        <w:rPr>
          <w:lang w:val="fr-FR"/>
        </w:rPr>
        <w:t>;</w:t>
      </w:r>
      <w:proofErr w:type="gramEnd"/>
      <w:r w:rsidRPr="00B24801">
        <w:rPr>
          <w:i/>
          <w:lang w:val="fr-FR"/>
        </w:rPr>
        <w:t xml:space="preserve"> </w:t>
      </w:r>
      <w:r w:rsidRPr="00B24801">
        <w:rPr>
          <w:rFonts w:ascii="CG Times" w:hAnsi="CG Times"/>
          <w:i/>
          <w:iCs/>
          <w:color w:val="000000"/>
          <w:spacing w:val="-3"/>
          <w:lang w:val="fr-FR"/>
        </w:rPr>
        <w:t>Division Shur Gain, Canada Packers Inc. c. Syndicat national des travailleurs et travailleuses de l’automobile, de l’aérospatiale et de l’outillage agricole du Canada</w:t>
      </w:r>
      <w:r w:rsidRPr="00B24801">
        <w:rPr>
          <w:rFonts w:ascii="CG Times" w:hAnsi="CG Times"/>
          <w:color w:val="000000"/>
          <w:spacing w:val="-3"/>
          <w:lang w:val="fr-FR"/>
        </w:rPr>
        <w:t xml:space="preserve">, [1992] 2 C.F. </w:t>
      </w:r>
      <w:proofErr w:type="gramStart"/>
      <w:r w:rsidRPr="00B24801">
        <w:rPr>
          <w:rFonts w:ascii="CG Times" w:hAnsi="CG Times"/>
          <w:color w:val="000000"/>
          <w:spacing w:val="-3"/>
          <w:lang w:val="fr-FR"/>
        </w:rPr>
        <w:t>3</w:t>
      </w:r>
      <w:r w:rsidRPr="00B24801">
        <w:rPr>
          <w:lang w:val="fr-FR"/>
        </w:rPr>
        <w:t>;</w:t>
      </w:r>
      <w:proofErr w:type="gramEnd"/>
      <w:r w:rsidRPr="00B24801">
        <w:rPr>
          <w:i/>
          <w:lang w:val="fr-FR"/>
        </w:rPr>
        <w:t xml:space="preserve"> Central Western Railway Corp. c. T.U.T</w:t>
      </w:r>
      <w:r w:rsidRPr="00B24801">
        <w:rPr>
          <w:lang w:val="fr-FR"/>
        </w:rPr>
        <w:t xml:space="preserve">., [1989] 2 C.F. </w:t>
      </w:r>
      <w:proofErr w:type="gramStart"/>
      <w:r w:rsidRPr="00B24801">
        <w:rPr>
          <w:lang w:val="fr-FR"/>
        </w:rPr>
        <w:t>186;</w:t>
      </w:r>
      <w:proofErr w:type="gramEnd"/>
      <w:r w:rsidRPr="00B24801">
        <w:rPr>
          <w:i/>
          <w:lang w:val="fr-FR"/>
        </w:rPr>
        <w:t xml:space="preserve"> Commission du salaire minimum c. Bell </w:t>
      </w:r>
      <w:proofErr w:type="spellStart"/>
      <w:r w:rsidRPr="00B24801">
        <w:rPr>
          <w:i/>
          <w:lang w:val="fr-FR"/>
        </w:rPr>
        <w:t>Telephone</w:t>
      </w:r>
      <w:proofErr w:type="spellEnd"/>
      <w:r w:rsidRPr="00B24801">
        <w:rPr>
          <w:i/>
          <w:lang w:val="fr-FR"/>
        </w:rPr>
        <w:t xml:space="preserve"> Co. of Canada</w:t>
      </w:r>
      <w:r w:rsidRPr="00B24801">
        <w:rPr>
          <w:lang w:val="fr-FR"/>
        </w:rPr>
        <w:t xml:space="preserve">, [1966] R.C.S. </w:t>
      </w:r>
      <w:proofErr w:type="gramStart"/>
      <w:r w:rsidRPr="00B24801">
        <w:rPr>
          <w:lang w:val="fr-FR"/>
        </w:rPr>
        <w:t>767;</w:t>
      </w:r>
      <w:proofErr w:type="gramEnd"/>
      <w:r w:rsidRPr="00B24801">
        <w:rPr>
          <w:lang w:val="fr-FR"/>
        </w:rPr>
        <w:t xml:space="preserve"> </w:t>
      </w:r>
      <w:r w:rsidRPr="00B24801">
        <w:rPr>
          <w:i/>
          <w:lang w:val="fr-FR"/>
        </w:rPr>
        <w:t xml:space="preserve">Four B </w:t>
      </w:r>
      <w:proofErr w:type="spellStart"/>
      <w:r w:rsidRPr="00B24801">
        <w:rPr>
          <w:i/>
          <w:lang w:val="fr-FR"/>
        </w:rPr>
        <w:t>Manufacturing</w:t>
      </w:r>
      <w:proofErr w:type="spellEnd"/>
      <w:r w:rsidRPr="00B24801">
        <w:rPr>
          <w:i/>
          <w:lang w:val="fr-FR"/>
        </w:rPr>
        <w:t xml:space="preserve"> Ltd. c. Travailleurs unis du vêtement d’Amérique</w:t>
      </w:r>
      <w:r w:rsidRPr="00B24801">
        <w:rPr>
          <w:lang w:val="fr-FR"/>
        </w:rPr>
        <w:t xml:space="preserve">, [1980] 1 R.C.S. </w:t>
      </w:r>
      <w:proofErr w:type="gramStart"/>
      <w:r w:rsidRPr="00B24801">
        <w:rPr>
          <w:lang w:val="fr-FR"/>
        </w:rPr>
        <w:t>1031;</w:t>
      </w:r>
      <w:proofErr w:type="gramEnd"/>
      <w:r w:rsidRPr="00B24801">
        <w:rPr>
          <w:lang w:val="fr-FR"/>
        </w:rPr>
        <w:t xml:space="preserve"> </w:t>
      </w:r>
      <w:r w:rsidRPr="00B24801">
        <w:rPr>
          <w:i/>
          <w:lang w:val="fr-FR"/>
        </w:rPr>
        <w:t xml:space="preserve">Alberta </w:t>
      </w:r>
      <w:proofErr w:type="spellStart"/>
      <w:r w:rsidRPr="00B24801">
        <w:rPr>
          <w:i/>
          <w:lang w:val="fr-FR"/>
        </w:rPr>
        <w:t>Government</w:t>
      </w:r>
      <w:proofErr w:type="spellEnd"/>
      <w:r w:rsidRPr="00B24801">
        <w:rPr>
          <w:i/>
          <w:lang w:val="fr-FR"/>
        </w:rPr>
        <w:t xml:space="preserve"> </w:t>
      </w:r>
      <w:proofErr w:type="spellStart"/>
      <w:r w:rsidRPr="00B24801">
        <w:rPr>
          <w:i/>
          <w:lang w:val="fr-FR"/>
        </w:rPr>
        <w:t>Telephones</w:t>
      </w:r>
      <w:proofErr w:type="spellEnd"/>
      <w:r w:rsidRPr="00B24801">
        <w:rPr>
          <w:i/>
          <w:lang w:val="fr-FR"/>
        </w:rPr>
        <w:t xml:space="preserve"> c. Canada (Conseil de la radiodiffusion et des télécommunications canadiennes)</w:t>
      </w:r>
      <w:r w:rsidRPr="00B24801">
        <w:rPr>
          <w:lang w:val="fr-FR"/>
        </w:rPr>
        <w:t xml:space="preserve">, [1989] 2 R.C.S. </w:t>
      </w:r>
      <w:proofErr w:type="gramStart"/>
      <w:r w:rsidRPr="00B24801">
        <w:rPr>
          <w:lang w:val="fr-FR"/>
        </w:rPr>
        <w:t>225;</w:t>
      </w:r>
      <w:proofErr w:type="gramEnd"/>
      <w:r w:rsidRPr="00B24801">
        <w:rPr>
          <w:i/>
          <w:iCs/>
          <w:color w:val="000000"/>
          <w:lang w:val="fr-FR"/>
        </w:rPr>
        <w:t xml:space="preserve"> Régie des services publics c. Dionne</w:t>
      </w:r>
      <w:r w:rsidRPr="00B24801">
        <w:rPr>
          <w:color w:val="000000"/>
          <w:lang w:val="fr-FR"/>
        </w:rPr>
        <w:t xml:space="preserve">, [1978] 2 R.C.S. </w:t>
      </w:r>
      <w:proofErr w:type="gramStart"/>
      <w:r w:rsidRPr="00B24801">
        <w:rPr>
          <w:color w:val="000000"/>
          <w:lang w:val="fr-FR"/>
        </w:rPr>
        <w:t>191;</w:t>
      </w:r>
      <w:proofErr w:type="gramEnd"/>
      <w:r w:rsidRPr="00B24801">
        <w:rPr>
          <w:i/>
          <w:lang w:val="fr-FR"/>
        </w:rPr>
        <w:t xml:space="preserve"> The King c. Eastern Terminal </w:t>
      </w:r>
      <w:proofErr w:type="spellStart"/>
      <w:r w:rsidRPr="00B24801">
        <w:rPr>
          <w:i/>
          <w:lang w:val="fr-FR"/>
        </w:rPr>
        <w:t>Elevator</w:t>
      </w:r>
      <w:proofErr w:type="spellEnd"/>
      <w:r w:rsidRPr="00B24801">
        <w:rPr>
          <w:i/>
          <w:lang w:val="fr-FR"/>
        </w:rPr>
        <w:t xml:space="preserve"> Co.</w:t>
      </w:r>
      <w:r w:rsidRPr="00B24801">
        <w:rPr>
          <w:lang w:val="fr-FR"/>
        </w:rPr>
        <w:t xml:space="preserve">, [1925] R.C.S. </w:t>
      </w:r>
      <w:proofErr w:type="gramStart"/>
      <w:r w:rsidRPr="00B24801">
        <w:rPr>
          <w:lang w:val="fr-FR"/>
        </w:rPr>
        <w:t>434;</w:t>
      </w:r>
      <w:proofErr w:type="gramEnd"/>
      <w:r w:rsidRPr="00B24801">
        <w:rPr>
          <w:i/>
          <w:iCs/>
          <w:color w:val="000000"/>
          <w:lang w:val="fr-FR"/>
        </w:rPr>
        <w:t xml:space="preserve"> </w:t>
      </w:r>
      <w:r w:rsidRPr="00B24801">
        <w:rPr>
          <w:i/>
          <w:lang w:val="fr-FR"/>
        </w:rPr>
        <w:t xml:space="preserve">Total </w:t>
      </w:r>
      <w:proofErr w:type="spellStart"/>
      <w:r w:rsidRPr="00B24801">
        <w:rPr>
          <w:i/>
          <w:lang w:val="fr-FR"/>
        </w:rPr>
        <w:t>Oilfields</w:t>
      </w:r>
      <w:proofErr w:type="spellEnd"/>
      <w:r w:rsidRPr="00B24801">
        <w:rPr>
          <w:i/>
          <w:lang w:val="fr-FR"/>
        </w:rPr>
        <w:t xml:space="preserve"> </w:t>
      </w:r>
      <w:proofErr w:type="spellStart"/>
      <w:r w:rsidRPr="00B24801">
        <w:rPr>
          <w:i/>
          <w:lang w:val="fr-FR"/>
        </w:rPr>
        <w:t>Rentals</w:t>
      </w:r>
      <w:proofErr w:type="spellEnd"/>
      <w:r w:rsidRPr="00B24801">
        <w:rPr>
          <w:i/>
          <w:lang w:val="fr-FR"/>
        </w:rPr>
        <w:t xml:space="preserve"> Limited Partnership c. Canada (Attorney General)</w:t>
      </w:r>
      <w:r w:rsidRPr="00B24801">
        <w:rPr>
          <w:lang w:val="fr-FR"/>
        </w:rPr>
        <w:t>, 2014 ABCA 250, 1 Alta. L.R. (6th) 266;</w:t>
      </w:r>
      <w:r w:rsidRPr="00B24801">
        <w:rPr>
          <w:i/>
          <w:lang w:val="fr-FR"/>
        </w:rPr>
        <w:t xml:space="preserve"> Conseil canadien des relations du travail c. Paul L’Anglais Inc.</w:t>
      </w:r>
      <w:r w:rsidRPr="00B24801">
        <w:rPr>
          <w:lang w:val="fr-FR"/>
        </w:rPr>
        <w:t xml:space="preserve">, [1983] 1 R.C.S. 147; </w:t>
      </w:r>
      <w:r w:rsidRPr="00B24801">
        <w:rPr>
          <w:i/>
          <w:lang w:val="fr-FR"/>
        </w:rPr>
        <w:t>R. c. Blenkhorn-Sayers Structural Steel Corp.</w:t>
      </w:r>
      <w:r w:rsidRPr="00B24801">
        <w:rPr>
          <w:lang w:val="fr-FR"/>
        </w:rPr>
        <w:t>, 2008 ONCA 789, 304 D.L.R. (4th) 498;</w:t>
      </w:r>
      <w:r w:rsidRPr="00B24801">
        <w:rPr>
          <w:i/>
          <w:lang w:val="fr-FR"/>
        </w:rPr>
        <w:t xml:space="preserve"> L-3 Communications Mapps </w:t>
      </w:r>
      <w:proofErr w:type="spellStart"/>
      <w:r w:rsidRPr="00B24801">
        <w:rPr>
          <w:i/>
          <w:lang w:val="fr-FR"/>
        </w:rPr>
        <w:t>inc.</w:t>
      </w:r>
      <w:proofErr w:type="spellEnd"/>
      <w:r w:rsidRPr="00B24801">
        <w:rPr>
          <w:i/>
          <w:lang w:val="fr-FR"/>
        </w:rPr>
        <w:t xml:space="preserve"> c. Commission de la santé et de la sécurité du travail</w:t>
      </w:r>
      <w:r w:rsidRPr="00B24801">
        <w:rPr>
          <w:lang w:val="fr-FR"/>
        </w:rPr>
        <w:t xml:space="preserve">, 2014 QCCA 277; </w:t>
      </w:r>
      <w:proofErr w:type="spellStart"/>
      <w:r w:rsidRPr="00B24801">
        <w:rPr>
          <w:i/>
          <w:lang w:val="fr-FR"/>
        </w:rPr>
        <w:t>Ramkey</w:t>
      </w:r>
      <w:proofErr w:type="spellEnd"/>
      <w:r w:rsidRPr="00B24801">
        <w:rPr>
          <w:i/>
          <w:lang w:val="fr-FR"/>
        </w:rPr>
        <w:t xml:space="preserve"> Communications Inc. c. </w:t>
      </w:r>
      <w:proofErr w:type="spellStart"/>
      <w:r w:rsidRPr="00B24801">
        <w:rPr>
          <w:i/>
          <w:lang w:val="fr-FR"/>
        </w:rPr>
        <w:t>Labourers</w:t>
      </w:r>
      <w:proofErr w:type="spellEnd"/>
      <w:r w:rsidRPr="00B24801">
        <w:rPr>
          <w:i/>
          <w:lang w:val="fr-FR"/>
        </w:rPr>
        <w:t>’ International Union of North America</w:t>
      </w:r>
      <w:r w:rsidRPr="00B24801">
        <w:rPr>
          <w:lang w:val="fr-FR"/>
        </w:rPr>
        <w:t>, 2019 ONCA 859, 149 O.R. (3d) 1;</w:t>
      </w:r>
      <w:r w:rsidRPr="00B24801">
        <w:rPr>
          <w:i/>
          <w:lang w:val="fr-FR"/>
        </w:rPr>
        <w:t xml:space="preserve"> </w:t>
      </w:r>
      <w:proofErr w:type="spellStart"/>
      <w:r w:rsidRPr="00B24801">
        <w:rPr>
          <w:i/>
          <w:lang w:val="fr-FR"/>
        </w:rPr>
        <w:t>Madysta</w:t>
      </w:r>
      <w:proofErr w:type="spellEnd"/>
      <w:r w:rsidRPr="00B24801">
        <w:rPr>
          <w:i/>
          <w:lang w:val="fr-FR"/>
        </w:rPr>
        <w:t xml:space="preserve"> Télécom </w:t>
      </w:r>
      <w:proofErr w:type="spellStart"/>
      <w:r w:rsidRPr="00B24801">
        <w:rPr>
          <w:i/>
          <w:lang w:val="fr-FR"/>
        </w:rPr>
        <w:t>ltée</w:t>
      </w:r>
      <w:proofErr w:type="spellEnd"/>
      <w:r w:rsidRPr="00B24801">
        <w:rPr>
          <w:i/>
          <w:lang w:val="fr-FR"/>
        </w:rPr>
        <w:t xml:space="preserve"> c. Commission des normes, de l’équité, de la santé et de la sécurité du travail</w:t>
      </w:r>
      <w:r w:rsidRPr="00B24801">
        <w:rPr>
          <w:lang w:val="fr-FR"/>
        </w:rPr>
        <w:t>, 2020 QCCA 183;</w:t>
      </w:r>
      <w:r w:rsidRPr="00B24801">
        <w:rPr>
          <w:i/>
          <w:lang w:val="fr-FR"/>
        </w:rPr>
        <w:t xml:space="preserve"> </w:t>
      </w:r>
      <w:r w:rsidR="0051337F" w:rsidRPr="00B24801">
        <w:rPr>
          <w:i/>
          <w:lang w:val="fr-CA"/>
        </w:rPr>
        <w:t>Association internationale des débardeurs, section locale 1657 c. Association des employeurs maritimes</w:t>
      </w:r>
      <w:r w:rsidR="0051337F" w:rsidRPr="00B24801">
        <w:rPr>
          <w:lang w:val="fr-CA"/>
        </w:rPr>
        <w:t>, 2014 CCRI 728</w:t>
      </w:r>
      <w:r w:rsidRPr="00B24801">
        <w:rPr>
          <w:lang w:val="fr-FR"/>
        </w:rPr>
        <w:t xml:space="preserve">; </w:t>
      </w:r>
      <w:r w:rsidRPr="00B24801">
        <w:rPr>
          <w:i/>
          <w:lang w:val="fr-FR"/>
        </w:rPr>
        <w:t>Canadian Pacific Railway Co. c. Attorney-General of British Columbia</w:t>
      </w:r>
      <w:r w:rsidRPr="00B24801">
        <w:rPr>
          <w:lang w:val="fr-FR"/>
        </w:rPr>
        <w:t xml:space="preserve">, [1948] R.C.S. 373; </w:t>
      </w:r>
      <w:r w:rsidRPr="00B24801">
        <w:rPr>
          <w:i/>
          <w:lang w:val="fr-FR"/>
        </w:rPr>
        <w:t xml:space="preserve">Canada (Ministre de la Citoyenneté et de </w:t>
      </w:r>
      <w:r w:rsidRPr="00B24801">
        <w:rPr>
          <w:i/>
          <w:lang w:val="fr-FR"/>
        </w:rPr>
        <w:lastRenderedPageBreak/>
        <w:t>l’Immigration) c. Vavilov</w:t>
      </w:r>
      <w:r w:rsidRPr="00B24801">
        <w:rPr>
          <w:lang w:val="fr-FR"/>
        </w:rPr>
        <w:t>, 2019 CSC 65, [2019] 4 R.C.S. 653.</w:t>
      </w:r>
    </w:p>
    <w:p w14:paraId="1A34E777" w14:textId="77777777" w:rsidR="001162C6" w:rsidRPr="00B24801" w:rsidRDefault="00167D15">
      <w:pPr>
        <w:pStyle w:val="SCCNormalDoubleSpacing"/>
        <w:widowControl w:val="0"/>
        <w:spacing w:after="720" w:line="240" w:lineRule="auto"/>
        <w:rPr>
          <w:b/>
          <w:lang w:val="fr-FR"/>
        </w:rPr>
      </w:pPr>
      <w:r w:rsidRPr="00B24801">
        <w:rPr>
          <w:b/>
          <w:lang w:val="fr-FR"/>
        </w:rPr>
        <w:t>Lois et règlements cités</w:t>
      </w:r>
    </w:p>
    <w:p w14:paraId="7AA08A7B" w14:textId="77777777" w:rsidR="001162C6" w:rsidRPr="00B24801" w:rsidRDefault="00167D15" w:rsidP="00C12A66">
      <w:pPr>
        <w:pStyle w:val="SCCNormalDoubleSpacing"/>
        <w:widowControl w:val="0"/>
        <w:spacing w:after="240" w:line="240" w:lineRule="auto"/>
        <w:ind w:left="547" w:hanging="547"/>
        <w:rPr>
          <w:i/>
          <w:iCs/>
          <w:color w:val="000000"/>
          <w:lang w:val="fr-FR"/>
        </w:rPr>
      </w:pPr>
      <w:r w:rsidRPr="00B24801">
        <w:rPr>
          <w:i/>
          <w:iCs/>
          <w:color w:val="000000"/>
          <w:lang w:val="fr-FR"/>
        </w:rPr>
        <w:t>Acte de l’Amérique du Nord britannique, 1867</w:t>
      </w:r>
      <w:r w:rsidRPr="00B24801">
        <w:rPr>
          <w:color w:val="000000"/>
          <w:lang w:val="fr-FR"/>
        </w:rPr>
        <w:t xml:space="preserve"> (R.-U.), 30 &amp; 31 Vict., c. 3 [reproduit dans L.R.C. 1985, app. II, n</w:t>
      </w:r>
      <w:r w:rsidRPr="00B24801">
        <w:rPr>
          <w:color w:val="000000"/>
          <w:vertAlign w:val="superscript"/>
          <w:lang w:val="fr-FR"/>
        </w:rPr>
        <w:t>o</w:t>
      </w:r>
      <w:r w:rsidRPr="00B24801">
        <w:rPr>
          <w:color w:val="000000"/>
          <w:lang w:val="fr-FR"/>
        </w:rPr>
        <w:t xml:space="preserve"> 5].</w:t>
      </w:r>
      <w:r w:rsidRPr="00B24801">
        <w:rPr>
          <w:i/>
          <w:iCs/>
          <w:color w:val="000000"/>
          <w:lang w:val="fr-FR"/>
        </w:rPr>
        <w:t xml:space="preserve"> </w:t>
      </w:r>
    </w:p>
    <w:p w14:paraId="7BED911B" w14:textId="77777777" w:rsidR="001162C6" w:rsidRPr="00B24801" w:rsidRDefault="00167D15">
      <w:pPr>
        <w:pStyle w:val="SCCNormalDoubleSpacing"/>
        <w:widowControl w:val="0"/>
        <w:spacing w:after="240" w:line="240" w:lineRule="auto"/>
        <w:ind w:left="540" w:hanging="540"/>
        <w:rPr>
          <w:color w:val="000000"/>
          <w:lang w:val="fr-FR"/>
        </w:rPr>
      </w:pPr>
      <w:r w:rsidRPr="00B24801">
        <w:rPr>
          <w:i/>
          <w:iCs/>
          <w:color w:val="000000"/>
          <w:lang w:val="fr-FR"/>
        </w:rPr>
        <w:t>Code canadien du travail</w:t>
      </w:r>
      <w:r w:rsidRPr="00B24801">
        <w:rPr>
          <w:color w:val="000000"/>
          <w:lang w:val="fr-FR"/>
        </w:rPr>
        <w:t>, L.R.C. 1985, c. L-2, art. 27.</w:t>
      </w:r>
    </w:p>
    <w:p w14:paraId="63E4C5E6" w14:textId="77777777" w:rsidR="001162C6" w:rsidRPr="00B24801" w:rsidRDefault="00167D15">
      <w:pPr>
        <w:pStyle w:val="SCCNormalDoubleSpacing"/>
        <w:widowControl w:val="0"/>
        <w:spacing w:after="240" w:line="240" w:lineRule="auto"/>
        <w:ind w:left="540" w:hanging="540"/>
        <w:rPr>
          <w:iCs/>
          <w:color w:val="000000"/>
          <w:lang w:val="fr-FR"/>
        </w:rPr>
      </w:pPr>
      <w:r w:rsidRPr="00B24801">
        <w:rPr>
          <w:i/>
          <w:iCs/>
          <w:color w:val="000000"/>
          <w:lang w:val="fr-FR"/>
        </w:rPr>
        <w:t>Code du travail</w:t>
      </w:r>
      <w:r w:rsidRPr="00B24801">
        <w:rPr>
          <w:iCs/>
          <w:color w:val="000000"/>
          <w:lang w:val="fr-FR"/>
        </w:rPr>
        <w:t>, RLRQ, c. C-27, art. 21, 32.</w:t>
      </w:r>
    </w:p>
    <w:p w14:paraId="5A88E397" w14:textId="77777777" w:rsidR="001162C6" w:rsidRPr="00B24801" w:rsidRDefault="00167D15">
      <w:pPr>
        <w:pStyle w:val="SCCNormalDoubleSpacing"/>
        <w:widowControl w:val="0"/>
        <w:spacing w:after="240" w:line="240" w:lineRule="auto"/>
        <w:ind w:left="540" w:hanging="540"/>
        <w:rPr>
          <w:lang w:val="fr-FR"/>
        </w:rPr>
      </w:pPr>
      <w:r w:rsidRPr="00B24801">
        <w:rPr>
          <w:i/>
          <w:lang w:val="fr-FR"/>
        </w:rPr>
        <w:t>Loi constitutionnelle de 1867</w:t>
      </w:r>
      <w:r w:rsidRPr="00B24801">
        <w:rPr>
          <w:lang w:val="fr-FR"/>
        </w:rPr>
        <w:t>, art. 91, 92.</w:t>
      </w:r>
    </w:p>
    <w:p w14:paraId="50900C4B" w14:textId="77777777" w:rsidR="001162C6" w:rsidRPr="00B24801" w:rsidRDefault="00167D15" w:rsidP="00C12A66">
      <w:pPr>
        <w:pStyle w:val="SCCNormalDoubleSpacing"/>
        <w:widowControl w:val="0"/>
        <w:spacing w:after="720" w:line="240" w:lineRule="auto"/>
        <w:ind w:left="547" w:hanging="547"/>
        <w:rPr>
          <w:lang w:val="fr-CA"/>
        </w:rPr>
      </w:pPr>
      <w:r w:rsidRPr="00B24801">
        <w:rPr>
          <w:i/>
          <w:lang w:val="fr-FR"/>
        </w:rPr>
        <w:t>Loi sur les grains du Canada</w:t>
      </w:r>
      <w:r w:rsidRPr="00B24801">
        <w:rPr>
          <w:lang w:val="fr-FR"/>
        </w:rPr>
        <w:t xml:space="preserve">, L.R.C. 1985, c. G-10, art. 2 « exploitant », « installation ou silo », « installation terminale ou silo terminal », « négociant en grains », 13, 14(1)b), 15.1, 16(1), 32, 33, 44, 45(2), 55(1), 56(1), 69.1, 70, </w:t>
      </w:r>
      <w:bookmarkStart w:id="8" w:name="_Hlk237511724"/>
      <w:r w:rsidRPr="00B24801">
        <w:rPr>
          <w:lang w:val="fr-FR"/>
        </w:rPr>
        <w:t xml:space="preserve">70.1, </w:t>
      </w:r>
      <w:bookmarkEnd w:id="8"/>
      <w:r w:rsidRPr="00B24801">
        <w:rPr>
          <w:lang w:val="fr-FR"/>
        </w:rPr>
        <w:t xml:space="preserve">70.2, 70.3, </w:t>
      </w:r>
      <w:bookmarkStart w:id="9" w:name="_Hlk237511730"/>
      <w:r w:rsidRPr="00B24801">
        <w:rPr>
          <w:lang w:val="fr-FR"/>
        </w:rPr>
        <w:t>93, 95.</w:t>
      </w:r>
      <w:bookmarkEnd w:id="9"/>
    </w:p>
    <w:p w14:paraId="41347D6D" w14:textId="77777777" w:rsidR="001162C6" w:rsidRPr="00B24801" w:rsidRDefault="00167D15">
      <w:pPr>
        <w:pStyle w:val="SCCNormalDoubleSpacing"/>
        <w:widowControl w:val="0"/>
        <w:spacing w:after="720" w:line="240" w:lineRule="auto"/>
        <w:rPr>
          <w:b/>
          <w:lang w:val="fr-FR"/>
        </w:rPr>
      </w:pPr>
      <w:r w:rsidRPr="00B24801">
        <w:rPr>
          <w:b/>
          <w:lang w:val="fr-FR"/>
        </w:rPr>
        <w:t>Doctrine et autres documents cités</w:t>
      </w:r>
    </w:p>
    <w:p w14:paraId="15BC92D2" w14:textId="77777777" w:rsidR="001162C6" w:rsidRPr="00B24801" w:rsidRDefault="00167D15">
      <w:pPr>
        <w:pStyle w:val="SCCNormalDoubleSpacing"/>
        <w:widowControl w:val="0"/>
        <w:spacing w:after="240" w:line="240" w:lineRule="auto"/>
        <w:ind w:left="540" w:hanging="540"/>
        <w:rPr>
          <w:color w:val="000000"/>
          <w:lang w:val="fr-FR"/>
        </w:rPr>
      </w:pPr>
      <w:bookmarkStart w:id="10" w:name="_Hlk239338789"/>
      <w:bookmarkStart w:id="11" w:name="_Hlk239338681"/>
      <w:r w:rsidRPr="00B24801">
        <w:rPr>
          <w:color w:val="000000"/>
          <w:lang w:val="fr-FR"/>
        </w:rPr>
        <w:t xml:space="preserve">Beaudoin, Gérald-A. </w:t>
      </w:r>
      <w:bookmarkStart w:id="12" w:name="_Hlk242192193"/>
      <w:r w:rsidRPr="00B24801">
        <w:rPr>
          <w:i/>
          <w:color w:val="000000"/>
          <w:lang w:val="fr-FR"/>
        </w:rPr>
        <w:t>Le fédéralisme au Canada</w:t>
      </w:r>
      <w:bookmarkEnd w:id="12"/>
      <w:r w:rsidRPr="00B24801">
        <w:rPr>
          <w:color w:val="000000"/>
          <w:lang w:val="fr-FR"/>
        </w:rPr>
        <w:t xml:space="preserve">, Montréal, Wilson &amp; Lafleur, 2000. </w:t>
      </w:r>
    </w:p>
    <w:bookmarkEnd w:id="10"/>
    <w:p w14:paraId="7E593C0E" w14:textId="77777777" w:rsidR="001162C6" w:rsidRPr="00B24801" w:rsidRDefault="00167D15">
      <w:pPr>
        <w:pStyle w:val="SCCNormalDoubleSpacing"/>
        <w:widowControl w:val="0"/>
        <w:spacing w:after="240" w:line="240" w:lineRule="auto"/>
        <w:ind w:left="540" w:hanging="540"/>
        <w:rPr>
          <w:color w:val="000000"/>
          <w:lang w:val="fr-FR"/>
        </w:rPr>
      </w:pPr>
      <w:r w:rsidRPr="00B24801">
        <w:rPr>
          <w:color w:val="000000"/>
          <w:lang w:val="fr-FR"/>
        </w:rPr>
        <w:t xml:space="preserve">Beaudoin, Gérald-A. </w:t>
      </w:r>
      <w:r w:rsidRPr="00B24801">
        <w:rPr>
          <w:i/>
          <w:color w:val="000000"/>
          <w:lang w:val="fr-FR"/>
        </w:rPr>
        <w:t>Le partage des pouvoirs</w:t>
      </w:r>
      <w:r w:rsidRPr="00B24801">
        <w:rPr>
          <w:color w:val="000000"/>
          <w:lang w:val="fr-FR"/>
        </w:rPr>
        <w:t>, 3</w:t>
      </w:r>
      <w:r w:rsidRPr="00B24801">
        <w:rPr>
          <w:color w:val="000000"/>
          <w:vertAlign w:val="superscript"/>
          <w:lang w:val="fr-FR"/>
        </w:rPr>
        <w:t>e</w:t>
      </w:r>
      <w:r w:rsidRPr="00B24801">
        <w:rPr>
          <w:color w:val="000000"/>
          <w:lang w:val="fr-FR"/>
        </w:rPr>
        <w:t xml:space="preserve"> éd., Ottawa, Éditions de l’Université d’Ottawa, 1983.</w:t>
      </w:r>
    </w:p>
    <w:bookmarkEnd w:id="11"/>
    <w:p w14:paraId="4061E703" w14:textId="77777777" w:rsidR="001162C6" w:rsidRPr="00B24801" w:rsidRDefault="00167D15">
      <w:pPr>
        <w:pStyle w:val="SCCNormalDoubleSpacing"/>
        <w:widowControl w:val="0"/>
        <w:spacing w:after="240" w:line="240" w:lineRule="auto"/>
        <w:ind w:left="540" w:hanging="540"/>
        <w:rPr>
          <w:lang w:val="fr-FR"/>
        </w:rPr>
      </w:pPr>
      <w:r w:rsidRPr="00B24801">
        <w:rPr>
          <w:lang w:val="fr-FR"/>
        </w:rPr>
        <w:t>Beetz, Jean. « Les Attitudes changeantes du Québec à l’endroit de la Constitution de 1867</w:t>
      </w:r>
      <w:r w:rsidRPr="00B24801">
        <w:rPr>
          <w:i/>
          <w:lang w:val="fr-FR"/>
        </w:rPr>
        <w:t> »</w:t>
      </w:r>
      <w:r w:rsidRPr="00B24801">
        <w:rPr>
          <w:lang w:val="fr-FR"/>
        </w:rPr>
        <w:t xml:space="preserve">, dans </w:t>
      </w:r>
      <w:proofErr w:type="spellStart"/>
      <w:r w:rsidRPr="00B24801">
        <w:rPr>
          <w:lang w:val="fr-FR"/>
        </w:rPr>
        <w:t>Paul-A</w:t>
      </w:r>
      <w:proofErr w:type="spellEnd"/>
      <w:r w:rsidRPr="00B24801">
        <w:rPr>
          <w:lang w:val="fr-FR"/>
        </w:rPr>
        <w:t xml:space="preserve">. Crépeau et C. B. Macpherson, </w:t>
      </w:r>
      <w:proofErr w:type="spellStart"/>
      <w:r w:rsidRPr="00B24801">
        <w:rPr>
          <w:lang w:val="fr-FR"/>
        </w:rPr>
        <w:t>dir</w:t>
      </w:r>
      <w:proofErr w:type="spellEnd"/>
      <w:r w:rsidRPr="00B24801">
        <w:rPr>
          <w:lang w:val="fr-FR"/>
        </w:rPr>
        <w:t xml:space="preserve">., </w:t>
      </w:r>
      <w:r w:rsidRPr="00B24801">
        <w:rPr>
          <w:i/>
          <w:lang w:val="fr-FR"/>
        </w:rPr>
        <w:t>L’Avenir du fédéralisme canadien</w:t>
      </w:r>
      <w:r w:rsidRPr="00B24801">
        <w:rPr>
          <w:lang w:val="fr-FR"/>
        </w:rPr>
        <w:t xml:space="preserve">, Toronto, </w:t>
      </w:r>
      <w:proofErr w:type="spellStart"/>
      <w:r w:rsidRPr="00B24801">
        <w:rPr>
          <w:lang w:val="fr-FR"/>
        </w:rPr>
        <w:t>University</w:t>
      </w:r>
      <w:proofErr w:type="spellEnd"/>
      <w:r w:rsidRPr="00B24801">
        <w:rPr>
          <w:lang w:val="fr-FR"/>
        </w:rPr>
        <w:t xml:space="preserve"> of Toronto </w:t>
      </w:r>
      <w:proofErr w:type="spellStart"/>
      <w:r w:rsidRPr="00B24801">
        <w:rPr>
          <w:lang w:val="fr-FR"/>
        </w:rPr>
        <w:t>Press</w:t>
      </w:r>
      <w:proofErr w:type="spellEnd"/>
      <w:r w:rsidRPr="00B24801">
        <w:rPr>
          <w:lang w:val="fr-FR"/>
        </w:rPr>
        <w:t xml:space="preserve">, 1965, 113. </w:t>
      </w:r>
    </w:p>
    <w:p w14:paraId="06E836BC" w14:textId="77777777" w:rsidR="001162C6" w:rsidRPr="00B24801" w:rsidRDefault="00167D15">
      <w:pPr>
        <w:pStyle w:val="SCCNormalDoubleSpacing"/>
        <w:widowControl w:val="0"/>
        <w:spacing w:after="240" w:line="240" w:lineRule="auto"/>
        <w:ind w:left="540" w:hanging="540"/>
        <w:rPr>
          <w:color w:val="000000"/>
          <w:lang w:val="fr-CA"/>
        </w:rPr>
      </w:pPr>
      <w:r w:rsidRPr="00B24801">
        <w:rPr>
          <w:color w:val="000000"/>
          <w:lang w:val="fr-FR"/>
        </w:rPr>
        <w:t xml:space="preserve">Brun, Henri, Guy Tremblay et Eugénie Brouillet. </w:t>
      </w:r>
      <w:r w:rsidRPr="00B24801">
        <w:rPr>
          <w:i/>
          <w:iCs/>
          <w:color w:val="000000"/>
          <w:lang w:val="fr-CA"/>
        </w:rPr>
        <w:t>Droit constitutionnel</w:t>
      </w:r>
      <w:r w:rsidRPr="00B24801">
        <w:rPr>
          <w:color w:val="000000"/>
          <w:lang w:val="fr-CA"/>
        </w:rPr>
        <w:t>, 6</w:t>
      </w:r>
      <w:r w:rsidRPr="00B24801">
        <w:rPr>
          <w:color w:val="000000"/>
          <w:vertAlign w:val="superscript"/>
          <w:lang w:val="fr-CA"/>
        </w:rPr>
        <w:t>e</w:t>
      </w:r>
      <w:r w:rsidRPr="00B24801">
        <w:rPr>
          <w:color w:val="000000"/>
          <w:lang w:val="fr-CA"/>
        </w:rPr>
        <w:t xml:space="preserve"> éd., Cowansville (</w:t>
      </w:r>
      <w:proofErr w:type="spellStart"/>
      <w:r w:rsidRPr="00B24801">
        <w:rPr>
          <w:color w:val="000000"/>
          <w:lang w:val="fr-CA"/>
        </w:rPr>
        <w:t>Qc</w:t>
      </w:r>
      <w:proofErr w:type="spellEnd"/>
      <w:r w:rsidRPr="00B24801">
        <w:rPr>
          <w:color w:val="000000"/>
          <w:lang w:val="fr-CA"/>
        </w:rPr>
        <w:t>), Yvon Blais, 2014.</w:t>
      </w:r>
    </w:p>
    <w:p w14:paraId="15887934" w14:textId="77777777" w:rsidR="001162C6" w:rsidRPr="00B24801" w:rsidRDefault="00167D15">
      <w:pPr>
        <w:pStyle w:val="SCCNormalDoubleSpacing"/>
        <w:widowControl w:val="0"/>
        <w:spacing w:after="240" w:line="240" w:lineRule="auto"/>
        <w:ind w:left="540" w:hanging="540"/>
        <w:rPr>
          <w:color w:val="000000"/>
          <w:lang w:val="fr-FR"/>
        </w:rPr>
      </w:pPr>
      <w:r w:rsidRPr="00B24801">
        <w:rPr>
          <w:color w:val="000000"/>
          <w:lang w:val="fr-FR"/>
        </w:rPr>
        <w:t xml:space="preserve">Canada. Commission de l’unité canadienne. </w:t>
      </w:r>
      <w:r w:rsidRPr="00B24801">
        <w:rPr>
          <w:i/>
          <w:iCs/>
          <w:color w:val="000000"/>
          <w:lang w:val="fr-FR"/>
        </w:rPr>
        <w:t>Se retrouver : Observations et recommandations</w:t>
      </w:r>
      <w:r w:rsidRPr="00B24801">
        <w:rPr>
          <w:color w:val="000000"/>
          <w:lang w:val="fr-FR"/>
        </w:rPr>
        <w:t>, Ottawa, Ministre des Approvisionnements et Services, 1979.</w:t>
      </w:r>
    </w:p>
    <w:p w14:paraId="2F9E8E7E" w14:textId="77777777" w:rsidR="001162C6" w:rsidRPr="00B24801" w:rsidRDefault="00167D15">
      <w:pPr>
        <w:pStyle w:val="SCCNormalDoubleSpacing"/>
        <w:widowControl w:val="0"/>
        <w:spacing w:after="240" w:line="240" w:lineRule="auto"/>
        <w:ind w:left="540" w:hanging="540"/>
        <w:rPr>
          <w:color w:val="000000"/>
          <w:lang w:val="fr-FR"/>
        </w:rPr>
      </w:pPr>
      <w:r w:rsidRPr="00B24801">
        <w:rPr>
          <w:color w:val="000000"/>
          <w:lang w:val="fr-FR"/>
        </w:rPr>
        <w:t xml:space="preserve">Chevrette, François, et Herbert Marx. </w:t>
      </w:r>
      <w:r w:rsidRPr="00B24801">
        <w:rPr>
          <w:i/>
          <w:iCs/>
          <w:color w:val="000000"/>
          <w:lang w:val="fr-FR"/>
        </w:rPr>
        <w:t>Droit constitutionnel : Principes fondamentaux : Notes et jurisprudence</w:t>
      </w:r>
      <w:r w:rsidRPr="00B24801">
        <w:rPr>
          <w:color w:val="000000"/>
          <w:lang w:val="fr-FR"/>
        </w:rPr>
        <w:t>, 2</w:t>
      </w:r>
      <w:r w:rsidRPr="00B24801">
        <w:rPr>
          <w:color w:val="000000"/>
          <w:vertAlign w:val="superscript"/>
          <w:lang w:val="fr-FR"/>
        </w:rPr>
        <w:t>e</w:t>
      </w:r>
      <w:r w:rsidRPr="00B24801">
        <w:rPr>
          <w:color w:val="000000"/>
          <w:lang w:val="fr-FR"/>
        </w:rPr>
        <w:t xml:space="preserve"> éd., rév. </w:t>
      </w:r>
      <w:proofErr w:type="gramStart"/>
      <w:r w:rsidRPr="00B24801">
        <w:rPr>
          <w:color w:val="000000"/>
          <w:lang w:val="fr-FR"/>
        </w:rPr>
        <w:t>par</w:t>
      </w:r>
      <w:proofErr w:type="gramEnd"/>
      <w:r w:rsidRPr="00B24801">
        <w:rPr>
          <w:color w:val="000000"/>
          <w:lang w:val="fr-FR"/>
        </w:rPr>
        <w:t xml:space="preserve"> Han-Ru Zhou, Montréal, Les Éditions Thémis, 2021.</w:t>
      </w:r>
    </w:p>
    <w:p w14:paraId="70CD4000" w14:textId="77777777" w:rsidR="001162C6" w:rsidRPr="00B24801" w:rsidRDefault="00167D15">
      <w:pPr>
        <w:pStyle w:val="SCCNormalDoubleSpacing"/>
        <w:widowControl w:val="0"/>
        <w:spacing w:after="240" w:line="240" w:lineRule="auto"/>
        <w:ind w:left="540" w:hanging="540"/>
        <w:rPr>
          <w:lang w:val="fr-CA"/>
        </w:rPr>
      </w:pPr>
      <w:r w:rsidRPr="00B24801">
        <w:rPr>
          <w:lang w:val="fr-CA"/>
        </w:rPr>
        <w:t xml:space="preserve">Coutu, Michel, et autres, </w:t>
      </w:r>
      <w:r w:rsidRPr="00B24801">
        <w:rPr>
          <w:color w:val="000000"/>
          <w:lang w:val="fr-FR"/>
        </w:rPr>
        <w:t>avec la collaboration de Florence Laporte-Murdock</w:t>
      </w:r>
      <w:r w:rsidRPr="00B24801">
        <w:rPr>
          <w:lang w:val="fr-CA"/>
        </w:rPr>
        <w:t xml:space="preserve">. </w:t>
      </w:r>
      <w:r w:rsidRPr="00B24801">
        <w:rPr>
          <w:i/>
          <w:lang w:val="fr-CA"/>
        </w:rPr>
        <w:t xml:space="preserve">Droits </w:t>
      </w:r>
      <w:r w:rsidRPr="00B24801">
        <w:rPr>
          <w:i/>
          <w:lang w:val="fr-CA"/>
        </w:rPr>
        <w:lastRenderedPageBreak/>
        <w:t>des rapports collectifs du travail au Québec</w:t>
      </w:r>
      <w:r w:rsidRPr="00B24801">
        <w:rPr>
          <w:lang w:val="fr-CA"/>
        </w:rPr>
        <w:t xml:space="preserve">, vol. 1, </w:t>
      </w:r>
      <w:r w:rsidRPr="00B24801">
        <w:rPr>
          <w:i/>
          <w:lang w:val="fr-CA"/>
        </w:rPr>
        <w:t>Le régime général</w:t>
      </w:r>
      <w:r w:rsidRPr="00B24801">
        <w:rPr>
          <w:lang w:val="fr-CA"/>
        </w:rPr>
        <w:t>, 3</w:t>
      </w:r>
      <w:r w:rsidRPr="00B24801">
        <w:rPr>
          <w:vertAlign w:val="superscript"/>
          <w:lang w:val="fr-CA"/>
        </w:rPr>
        <w:t>e</w:t>
      </w:r>
      <w:r w:rsidRPr="00B24801">
        <w:rPr>
          <w:lang w:val="fr-CA"/>
        </w:rPr>
        <w:t xml:space="preserve"> éd., Montréal, Yvon Blais, 2019.</w:t>
      </w:r>
    </w:p>
    <w:p w14:paraId="0D1D441A" w14:textId="77777777" w:rsidR="001162C6" w:rsidRPr="00B24801" w:rsidRDefault="00167D15">
      <w:pPr>
        <w:pStyle w:val="SCCNormalDoubleSpacing"/>
        <w:widowControl w:val="0"/>
        <w:spacing w:after="240" w:line="240" w:lineRule="auto"/>
        <w:ind w:left="540" w:hanging="540"/>
        <w:rPr>
          <w:color w:val="000000"/>
        </w:rPr>
      </w:pPr>
      <w:r w:rsidRPr="00B24801">
        <w:rPr>
          <w:color w:val="000000"/>
        </w:rPr>
        <w:t xml:space="preserve">Finkelstein, Neil. </w:t>
      </w:r>
      <w:r w:rsidRPr="00B24801">
        <w:rPr>
          <w:rStyle w:val="solexhl"/>
          <w:i/>
          <w:iCs/>
          <w:color w:val="000000"/>
        </w:rPr>
        <w:t>Laskin’s Canadian Constitutional Law</w:t>
      </w:r>
      <w:r w:rsidRPr="00B24801">
        <w:rPr>
          <w:color w:val="000000"/>
        </w:rPr>
        <w:t>, 5</w:t>
      </w:r>
      <w:r w:rsidRPr="00B24801">
        <w:rPr>
          <w:color w:val="000000"/>
          <w:vertAlign w:val="superscript"/>
        </w:rPr>
        <w:t>e</w:t>
      </w:r>
      <w:r w:rsidRPr="00B24801">
        <w:rPr>
          <w:color w:val="000000"/>
        </w:rPr>
        <w:t xml:space="preserve"> </w:t>
      </w:r>
      <w:proofErr w:type="spellStart"/>
      <w:r w:rsidRPr="00B24801">
        <w:rPr>
          <w:color w:val="000000"/>
        </w:rPr>
        <w:t>éd</w:t>
      </w:r>
      <w:proofErr w:type="spellEnd"/>
      <w:r w:rsidRPr="00B24801">
        <w:rPr>
          <w:color w:val="000000"/>
        </w:rPr>
        <w:t>., Toronto, Carswell, 1986.</w:t>
      </w:r>
    </w:p>
    <w:p w14:paraId="36CA55EA" w14:textId="77777777" w:rsidR="001162C6" w:rsidRPr="00B24801" w:rsidRDefault="00167D15">
      <w:pPr>
        <w:pStyle w:val="SCCNormalDoubleSpacing"/>
        <w:widowControl w:val="0"/>
        <w:spacing w:after="240" w:line="240" w:lineRule="auto"/>
        <w:ind w:left="540" w:hanging="540"/>
      </w:pPr>
      <w:r w:rsidRPr="00B24801">
        <w:t xml:space="preserve">Fraser, I. H. « Some Comments on Subsection 92(10) of the </w:t>
      </w:r>
      <w:r w:rsidRPr="00B24801">
        <w:rPr>
          <w:i/>
        </w:rPr>
        <w:t>Constitution Act, 1867 »</w:t>
      </w:r>
      <w:r w:rsidRPr="00B24801">
        <w:t xml:space="preserve"> (1984), 29</w:t>
      </w:r>
      <w:r w:rsidRPr="00B24801">
        <w:rPr>
          <w:i/>
        </w:rPr>
        <w:t xml:space="preserve"> R.D. McGill </w:t>
      </w:r>
      <w:r w:rsidRPr="00B24801">
        <w:t>557.</w:t>
      </w:r>
    </w:p>
    <w:p w14:paraId="0B4EBBE4" w14:textId="77777777" w:rsidR="001162C6" w:rsidRPr="00B24801" w:rsidRDefault="00167D15">
      <w:pPr>
        <w:pStyle w:val="SCCNormalDoubleSpacing"/>
        <w:widowControl w:val="0"/>
        <w:spacing w:after="240" w:line="240" w:lineRule="auto"/>
        <w:ind w:left="540" w:hanging="540"/>
        <w:rPr>
          <w:color w:val="000000"/>
          <w:lang w:val="fr-FR"/>
        </w:rPr>
      </w:pPr>
      <w:r w:rsidRPr="00B24801">
        <w:rPr>
          <w:color w:val="000000"/>
          <w:lang w:val="fr-FR"/>
        </w:rPr>
        <w:t xml:space="preserve">Gagnon, Robert P. </w:t>
      </w:r>
      <w:r w:rsidRPr="00B24801">
        <w:rPr>
          <w:rStyle w:val="solexhl"/>
          <w:i/>
          <w:iCs/>
          <w:color w:val="000000"/>
          <w:lang w:val="fr-FR"/>
        </w:rPr>
        <w:t>Le droit du travail du Québec</w:t>
      </w:r>
      <w:r w:rsidRPr="00B24801">
        <w:rPr>
          <w:color w:val="000000"/>
          <w:lang w:val="fr-FR"/>
        </w:rPr>
        <w:t>, 8</w:t>
      </w:r>
      <w:r w:rsidRPr="00B24801">
        <w:rPr>
          <w:color w:val="000000"/>
          <w:vertAlign w:val="superscript"/>
          <w:lang w:val="fr-FR"/>
        </w:rPr>
        <w:t>e</w:t>
      </w:r>
      <w:r w:rsidRPr="00B24801">
        <w:rPr>
          <w:color w:val="000000"/>
          <w:lang w:val="fr-FR"/>
        </w:rPr>
        <w:t xml:space="preserve"> éd., mise à jour par Langlois Kronström Desjardins, sous la direction de Yan Bernard et autres, Cowansville (</w:t>
      </w:r>
      <w:proofErr w:type="spellStart"/>
      <w:r w:rsidRPr="00B24801">
        <w:rPr>
          <w:color w:val="000000"/>
          <w:lang w:val="fr-FR"/>
        </w:rPr>
        <w:t>Qc</w:t>
      </w:r>
      <w:proofErr w:type="spellEnd"/>
      <w:r w:rsidRPr="00B24801">
        <w:rPr>
          <w:color w:val="000000"/>
          <w:lang w:val="fr-FR"/>
        </w:rPr>
        <w:t>), Yvon Blais, 2013.</w:t>
      </w:r>
    </w:p>
    <w:p w14:paraId="668AD10C" w14:textId="77777777" w:rsidR="001162C6" w:rsidRPr="00B24801" w:rsidRDefault="00167D15">
      <w:pPr>
        <w:pStyle w:val="SCCNormalDoubleSpacing"/>
        <w:widowControl w:val="0"/>
        <w:spacing w:after="240" w:line="240" w:lineRule="auto"/>
        <w:ind w:left="540" w:hanging="540"/>
        <w:rPr>
          <w:lang w:val="fr-CA"/>
        </w:rPr>
      </w:pPr>
      <w:r w:rsidRPr="00B24801">
        <w:rPr>
          <w:color w:val="000000"/>
          <w:lang w:val="fr-FR"/>
        </w:rPr>
        <w:t xml:space="preserve">Gélinas, Fabien. </w:t>
      </w:r>
      <w:r w:rsidRPr="00B24801">
        <w:rPr>
          <w:lang w:val="fr-FR"/>
        </w:rPr>
        <w:t>« </w:t>
      </w:r>
      <w:r w:rsidRPr="00B24801">
        <w:rPr>
          <w:lang w:val="fr-CA"/>
        </w:rPr>
        <w:t xml:space="preserve">La doctrine des immunités </w:t>
      </w:r>
      <w:proofErr w:type="spellStart"/>
      <w:r w:rsidRPr="00B24801">
        <w:rPr>
          <w:lang w:val="fr-CA"/>
        </w:rPr>
        <w:t>interjuridictionnelles</w:t>
      </w:r>
      <w:proofErr w:type="spellEnd"/>
      <w:r w:rsidRPr="00B24801">
        <w:rPr>
          <w:lang w:val="fr-CA"/>
        </w:rPr>
        <w:t xml:space="preserve"> dans le partage des compétences</w:t>
      </w:r>
      <w:r w:rsidR="009E6D25">
        <w:rPr>
          <w:lang w:val="fr-CA"/>
        </w:rPr>
        <w:t> </w:t>
      </w:r>
      <w:r w:rsidRPr="00B24801">
        <w:rPr>
          <w:lang w:val="fr-CA"/>
        </w:rPr>
        <w:t>: éléments de systématisation</w:t>
      </w:r>
      <w:r w:rsidRPr="00B24801">
        <w:rPr>
          <w:i/>
          <w:lang w:val="fr-FR"/>
        </w:rPr>
        <w:t> »</w:t>
      </w:r>
      <w:r w:rsidRPr="00B24801">
        <w:rPr>
          <w:lang w:val="fr-FR"/>
        </w:rPr>
        <w:t>,</w:t>
      </w:r>
      <w:r w:rsidRPr="00B24801">
        <w:rPr>
          <w:lang w:val="fr-CA"/>
        </w:rPr>
        <w:t xml:space="preserve"> dans J.-L. Baudouin et autres, </w:t>
      </w:r>
      <w:proofErr w:type="spellStart"/>
      <w:r w:rsidRPr="00B24801">
        <w:rPr>
          <w:lang w:val="fr-CA"/>
        </w:rPr>
        <w:t>dir</w:t>
      </w:r>
      <w:proofErr w:type="spellEnd"/>
      <w:r w:rsidRPr="00B24801">
        <w:rPr>
          <w:lang w:val="fr-CA"/>
        </w:rPr>
        <w:t xml:space="preserve">., </w:t>
      </w:r>
      <w:r w:rsidRPr="00B24801">
        <w:rPr>
          <w:i/>
          <w:lang w:val="fr-CA"/>
        </w:rPr>
        <w:t>Mélanges Jean Beetz</w:t>
      </w:r>
      <w:r w:rsidRPr="00B24801">
        <w:rPr>
          <w:lang w:val="fr-CA"/>
        </w:rPr>
        <w:t>, Montréal, Éditions Thémis, 1995, 471.</w:t>
      </w:r>
    </w:p>
    <w:p w14:paraId="7682B48A" w14:textId="77777777" w:rsidR="001162C6" w:rsidRPr="00B24801" w:rsidRDefault="00167D15">
      <w:pPr>
        <w:pStyle w:val="SCCNormalDoubleSpacing"/>
        <w:widowControl w:val="0"/>
        <w:spacing w:after="240" w:line="240" w:lineRule="auto"/>
        <w:ind w:left="540" w:hanging="540"/>
      </w:pPr>
      <w:r w:rsidRPr="00B24801">
        <w:t>Hanssen, Kenneth. « The Federal Declaratory Power Under the British North America Act</w:t>
      </w:r>
      <w:r w:rsidRPr="00B24801">
        <w:rPr>
          <w:i/>
        </w:rPr>
        <w:t> »</w:t>
      </w:r>
      <w:r w:rsidRPr="00B24801">
        <w:t xml:space="preserve"> (1968), 3:1 </w:t>
      </w:r>
      <w:r w:rsidRPr="00B24801">
        <w:rPr>
          <w:i/>
        </w:rPr>
        <w:t>Man. L.J.</w:t>
      </w:r>
      <w:r w:rsidRPr="00B24801">
        <w:t xml:space="preserve"> 87.</w:t>
      </w:r>
    </w:p>
    <w:p w14:paraId="0F5503A7" w14:textId="77777777" w:rsidR="001162C6" w:rsidRPr="00B24801" w:rsidRDefault="00167D15">
      <w:pPr>
        <w:pStyle w:val="SCCNormalDoubleSpacing"/>
        <w:widowControl w:val="0"/>
        <w:spacing w:after="240" w:line="240" w:lineRule="auto"/>
        <w:ind w:left="540" w:hanging="540"/>
        <w:rPr>
          <w:color w:val="000000"/>
          <w:lang w:val="fr-CA"/>
        </w:rPr>
      </w:pPr>
      <w:r w:rsidRPr="00B24801">
        <w:rPr>
          <w:color w:val="000000"/>
        </w:rPr>
        <w:t xml:space="preserve">Hogg, Peter W., et Wade K. Wright. </w:t>
      </w:r>
      <w:proofErr w:type="spellStart"/>
      <w:r w:rsidRPr="00B24801">
        <w:rPr>
          <w:rStyle w:val="solexhl"/>
          <w:i/>
          <w:iCs/>
          <w:color w:val="000000"/>
          <w:lang w:val="fr-CA"/>
        </w:rPr>
        <w:t>Constitutional</w:t>
      </w:r>
      <w:proofErr w:type="spellEnd"/>
      <w:r w:rsidRPr="00B24801">
        <w:rPr>
          <w:rStyle w:val="solexhl"/>
          <w:i/>
          <w:iCs/>
          <w:color w:val="000000"/>
          <w:lang w:val="fr-CA"/>
        </w:rPr>
        <w:t xml:space="preserve"> Law of Canada</w:t>
      </w:r>
      <w:r w:rsidRPr="00B24801">
        <w:rPr>
          <w:color w:val="000000"/>
          <w:lang w:val="fr-CA"/>
        </w:rPr>
        <w:t>, 5</w:t>
      </w:r>
      <w:r w:rsidRPr="00B24801">
        <w:rPr>
          <w:color w:val="000000"/>
          <w:vertAlign w:val="superscript"/>
          <w:lang w:val="fr-CA"/>
        </w:rPr>
        <w:t>e</w:t>
      </w:r>
      <w:r w:rsidRPr="00B24801">
        <w:rPr>
          <w:color w:val="000000"/>
          <w:lang w:val="fr-CA"/>
        </w:rPr>
        <w:t xml:space="preserve"> éd. suppl., Toronto, Thomson Reuters, 2023 (mise à jour 2026, envoi n</w:t>
      </w:r>
      <w:r w:rsidRPr="00B24801">
        <w:rPr>
          <w:color w:val="000000"/>
          <w:vertAlign w:val="superscript"/>
          <w:lang w:val="fr-CA"/>
        </w:rPr>
        <w:t>o</w:t>
      </w:r>
      <w:r w:rsidRPr="00B24801">
        <w:rPr>
          <w:color w:val="000000"/>
          <w:lang w:val="fr-CA"/>
        </w:rPr>
        <w:t xml:space="preserve"> 2).</w:t>
      </w:r>
    </w:p>
    <w:p w14:paraId="4B79D856" w14:textId="77777777" w:rsidR="001162C6" w:rsidRPr="00B24801" w:rsidRDefault="00167D15">
      <w:pPr>
        <w:pStyle w:val="SCCNormalDoubleSpacing"/>
        <w:widowControl w:val="0"/>
        <w:spacing w:after="240" w:line="240" w:lineRule="auto"/>
        <w:ind w:left="540" w:hanging="540"/>
        <w:rPr>
          <w:rFonts w:ascii="CG Times" w:hAnsi="CG Times"/>
          <w:color w:val="000000"/>
          <w:spacing w:val="-3"/>
          <w:lang w:val="fr-FR"/>
        </w:rPr>
      </w:pPr>
      <w:r w:rsidRPr="00B24801">
        <w:rPr>
          <w:rFonts w:ascii="CG Times" w:hAnsi="CG Times"/>
          <w:color w:val="000000"/>
          <w:spacing w:val="-3"/>
          <w:lang w:val="fr-FR"/>
        </w:rPr>
        <w:t xml:space="preserve">Lajoie, Andrée. </w:t>
      </w:r>
      <w:r w:rsidRPr="00B24801">
        <w:rPr>
          <w:rStyle w:val="solexhl"/>
          <w:rFonts w:ascii="CG Times" w:hAnsi="CG Times"/>
          <w:i/>
          <w:iCs/>
          <w:color w:val="000000"/>
          <w:spacing w:val="-3"/>
          <w:lang w:val="fr-FR"/>
        </w:rPr>
        <w:t>Le pouvoir déclaratoire du Parlement </w:t>
      </w:r>
      <w:r w:rsidRPr="00B24801">
        <w:rPr>
          <w:rStyle w:val="solexhl"/>
          <w:rFonts w:ascii="CG Times" w:hAnsi="CG Times" w:hint="eastAsia"/>
          <w:i/>
          <w:iCs/>
          <w:color w:val="000000"/>
          <w:spacing w:val="-3"/>
          <w:lang w:val="fr-FR"/>
        </w:rPr>
        <w:t>:</w:t>
      </w:r>
      <w:r w:rsidRPr="00B24801">
        <w:rPr>
          <w:rFonts w:ascii="CG Times" w:hAnsi="CG Times"/>
          <w:i/>
          <w:iCs/>
          <w:color w:val="000000"/>
          <w:spacing w:val="-3"/>
          <w:lang w:val="fr-FR"/>
        </w:rPr>
        <w:t xml:space="preserve"> Augmentation discrétionnaire de la compétence fédérale au Canada</w:t>
      </w:r>
      <w:r w:rsidRPr="00B24801">
        <w:rPr>
          <w:rFonts w:ascii="CG Times" w:hAnsi="CG Times"/>
          <w:color w:val="000000"/>
          <w:spacing w:val="-3"/>
          <w:lang w:val="fr-FR"/>
        </w:rPr>
        <w:t>, Montréal. Presses de l’Université de Montréal, 1969.</w:t>
      </w:r>
    </w:p>
    <w:p w14:paraId="1C6D3DB3" w14:textId="77777777" w:rsidR="001162C6" w:rsidRPr="00B24801" w:rsidRDefault="00167D15">
      <w:pPr>
        <w:pStyle w:val="SCCNormalDoubleSpacing"/>
        <w:widowControl w:val="0"/>
        <w:spacing w:after="240" w:line="240" w:lineRule="auto"/>
        <w:ind w:left="540" w:hanging="540"/>
        <w:rPr>
          <w:lang w:val="fr-FR"/>
        </w:rPr>
      </w:pPr>
      <w:r w:rsidRPr="00B24801">
        <w:rPr>
          <w:lang w:val="fr-FR"/>
        </w:rPr>
        <w:t>MacDonald, Vincent C. « </w:t>
      </w:r>
      <w:proofErr w:type="spellStart"/>
      <w:r w:rsidRPr="00B24801">
        <w:rPr>
          <w:lang w:val="fr-FR"/>
        </w:rPr>
        <w:t>Parliamentary</w:t>
      </w:r>
      <w:proofErr w:type="spellEnd"/>
      <w:r w:rsidRPr="00B24801">
        <w:rPr>
          <w:lang w:val="fr-FR"/>
        </w:rPr>
        <w:t xml:space="preserve"> </w:t>
      </w:r>
      <w:proofErr w:type="spellStart"/>
      <w:r w:rsidRPr="00B24801">
        <w:rPr>
          <w:lang w:val="fr-FR"/>
        </w:rPr>
        <w:t>Jurisdiction</w:t>
      </w:r>
      <w:proofErr w:type="spellEnd"/>
      <w:r w:rsidRPr="00B24801">
        <w:rPr>
          <w:lang w:val="fr-FR"/>
        </w:rPr>
        <w:t xml:space="preserve"> by </w:t>
      </w:r>
      <w:proofErr w:type="spellStart"/>
      <w:r w:rsidRPr="00B24801">
        <w:rPr>
          <w:lang w:val="fr-FR"/>
        </w:rPr>
        <w:t>Declaration</w:t>
      </w:r>
      <w:proofErr w:type="spellEnd"/>
      <w:r w:rsidRPr="00B24801">
        <w:rPr>
          <w:i/>
          <w:lang w:val="fr-FR"/>
        </w:rPr>
        <w:t> »</w:t>
      </w:r>
      <w:r w:rsidRPr="00B24801">
        <w:rPr>
          <w:lang w:val="fr-FR"/>
        </w:rPr>
        <w:t xml:space="preserve"> (1934), 1 D.L.R. 1.</w:t>
      </w:r>
    </w:p>
    <w:p w14:paraId="25E4C96E" w14:textId="77777777" w:rsidR="001162C6" w:rsidRPr="00B24801" w:rsidRDefault="00167D15">
      <w:pPr>
        <w:pStyle w:val="SCCNormalDoubleSpacing"/>
        <w:widowControl w:val="0"/>
        <w:spacing w:after="240" w:line="240" w:lineRule="auto"/>
        <w:ind w:left="540" w:hanging="540"/>
        <w:rPr>
          <w:lang w:val="fr-FR"/>
        </w:rPr>
      </w:pPr>
      <w:r w:rsidRPr="00B24801">
        <w:rPr>
          <w:lang w:val="fr-FR"/>
        </w:rPr>
        <w:t>MacDonnell, Vanessa. « </w:t>
      </w:r>
      <w:proofErr w:type="spellStart"/>
      <w:r w:rsidRPr="00B24801">
        <w:rPr>
          <w:lang w:val="fr-FR"/>
        </w:rPr>
        <w:t>Developments</w:t>
      </w:r>
      <w:proofErr w:type="spellEnd"/>
      <w:r w:rsidRPr="00B24801">
        <w:rPr>
          <w:lang w:val="fr-FR"/>
        </w:rPr>
        <w:t xml:space="preserve"> in </w:t>
      </w:r>
      <w:proofErr w:type="spellStart"/>
      <w:r w:rsidRPr="00B24801">
        <w:rPr>
          <w:lang w:val="fr-FR"/>
        </w:rPr>
        <w:t>Constitutional</w:t>
      </w:r>
      <w:proofErr w:type="spellEnd"/>
      <w:r w:rsidRPr="00B24801">
        <w:rPr>
          <w:lang w:val="fr-FR"/>
        </w:rPr>
        <w:t xml:space="preserve"> Law : The 2011-2012 </w:t>
      </w:r>
      <w:proofErr w:type="spellStart"/>
      <w:r w:rsidRPr="00B24801">
        <w:rPr>
          <w:lang w:val="fr-FR"/>
        </w:rPr>
        <w:t>Term</w:t>
      </w:r>
      <w:proofErr w:type="spellEnd"/>
      <w:r w:rsidRPr="00B24801">
        <w:rPr>
          <w:i/>
          <w:lang w:val="fr-FR"/>
        </w:rPr>
        <w:t> »</w:t>
      </w:r>
      <w:r w:rsidRPr="00B24801">
        <w:rPr>
          <w:lang w:val="fr-FR"/>
        </w:rPr>
        <w:t xml:space="preserve"> (2012), 59 </w:t>
      </w:r>
      <w:r w:rsidRPr="00B24801">
        <w:rPr>
          <w:i/>
          <w:lang w:val="fr-FR"/>
        </w:rPr>
        <w:t>S.C.L.R.</w:t>
      </w:r>
      <w:r w:rsidRPr="00B24801">
        <w:rPr>
          <w:lang w:val="fr-FR"/>
        </w:rPr>
        <w:t xml:space="preserve"> (2d) 51.</w:t>
      </w:r>
    </w:p>
    <w:p w14:paraId="55104CCA" w14:textId="77777777" w:rsidR="001162C6" w:rsidRPr="00B24801" w:rsidRDefault="00167D15">
      <w:pPr>
        <w:pStyle w:val="SCCNormalDoubleSpacing"/>
        <w:widowControl w:val="0"/>
        <w:spacing w:after="240" w:line="240" w:lineRule="auto"/>
        <w:ind w:left="540" w:hanging="540"/>
      </w:pPr>
      <w:r w:rsidRPr="00B24801">
        <w:t>McKercher, Robert H. « Parliament’s Declaratory Power</w:t>
      </w:r>
      <w:r w:rsidRPr="00B24801">
        <w:rPr>
          <w:i/>
        </w:rPr>
        <w:t> »</w:t>
      </w:r>
      <w:r w:rsidRPr="00B24801">
        <w:t xml:space="preserve"> (1955), 20 </w:t>
      </w:r>
      <w:r w:rsidRPr="00B24801">
        <w:rPr>
          <w:i/>
        </w:rPr>
        <w:t>Sask. Bar Rev.</w:t>
      </w:r>
      <w:r w:rsidRPr="00B24801">
        <w:t xml:space="preserve"> 3.</w:t>
      </w:r>
    </w:p>
    <w:p w14:paraId="6D5EB453" w14:textId="77777777" w:rsidR="001162C6" w:rsidRPr="00B24801" w:rsidRDefault="00167D15">
      <w:pPr>
        <w:pStyle w:val="SCCNormalDoubleSpacing"/>
        <w:widowControl w:val="0"/>
        <w:spacing w:after="240" w:line="240" w:lineRule="auto"/>
        <w:ind w:left="540" w:hanging="540"/>
        <w:rPr>
          <w:color w:val="000000"/>
        </w:rPr>
      </w:pPr>
      <w:r w:rsidRPr="00B24801">
        <w:rPr>
          <w:color w:val="000000"/>
        </w:rPr>
        <w:t xml:space="preserve">Monahan, Patrick J., Byron Shaw et Padraic Ryan. </w:t>
      </w:r>
      <w:r w:rsidRPr="00B24801">
        <w:rPr>
          <w:i/>
          <w:iCs/>
          <w:color w:val="000000"/>
        </w:rPr>
        <w:t>Constitutional Law</w:t>
      </w:r>
      <w:r w:rsidRPr="00B24801">
        <w:rPr>
          <w:color w:val="000000"/>
        </w:rPr>
        <w:t>, 5</w:t>
      </w:r>
      <w:r w:rsidRPr="00B24801">
        <w:rPr>
          <w:color w:val="000000"/>
          <w:vertAlign w:val="superscript"/>
        </w:rPr>
        <w:t>e</w:t>
      </w:r>
      <w:r w:rsidRPr="00B24801">
        <w:rPr>
          <w:color w:val="000000"/>
        </w:rPr>
        <w:t xml:space="preserve"> </w:t>
      </w:r>
      <w:proofErr w:type="spellStart"/>
      <w:r w:rsidRPr="00B24801">
        <w:rPr>
          <w:color w:val="000000"/>
        </w:rPr>
        <w:t>éd</w:t>
      </w:r>
      <w:proofErr w:type="spellEnd"/>
      <w:r w:rsidRPr="00B24801">
        <w:rPr>
          <w:color w:val="000000"/>
        </w:rPr>
        <w:t>., Toronto, Irwin Law, 2017.</w:t>
      </w:r>
    </w:p>
    <w:p w14:paraId="6538D746" w14:textId="77777777" w:rsidR="001162C6" w:rsidRPr="00B24801" w:rsidRDefault="00167D15">
      <w:pPr>
        <w:pStyle w:val="SCCNormalDoubleSpacing"/>
        <w:widowControl w:val="0"/>
        <w:spacing w:after="240" w:line="240" w:lineRule="auto"/>
        <w:ind w:left="540" w:hanging="540"/>
        <w:rPr>
          <w:lang w:val="fr-FR"/>
        </w:rPr>
      </w:pPr>
      <w:bookmarkStart w:id="13" w:name="_Hlk239942830"/>
      <w:r w:rsidRPr="00B24801">
        <w:rPr>
          <w:lang w:val="fr-FR"/>
        </w:rPr>
        <w:t>Patenaude, Micheline. « L’entreprise qui fait partie intégrante de l’entreprise fédérale</w:t>
      </w:r>
      <w:r w:rsidRPr="00B24801">
        <w:rPr>
          <w:i/>
          <w:lang w:val="fr-FR"/>
        </w:rPr>
        <w:t> »</w:t>
      </w:r>
      <w:r w:rsidRPr="00B24801">
        <w:rPr>
          <w:lang w:val="fr-FR"/>
        </w:rPr>
        <w:t xml:space="preserve"> (1991), 32 </w:t>
      </w:r>
      <w:r w:rsidRPr="00B24801">
        <w:rPr>
          <w:i/>
          <w:lang w:val="fr-FR"/>
        </w:rPr>
        <w:t>C. de D.</w:t>
      </w:r>
      <w:r w:rsidRPr="00B24801">
        <w:rPr>
          <w:lang w:val="fr-FR"/>
        </w:rPr>
        <w:t xml:space="preserve"> 763.</w:t>
      </w:r>
    </w:p>
    <w:bookmarkEnd w:id="13"/>
    <w:p w14:paraId="50A793D6" w14:textId="77777777" w:rsidR="001162C6" w:rsidRPr="00B24801" w:rsidRDefault="00167D15">
      <w:pPr>
        <w:pStyle w:val="SCCNormalDoubleSpacing"/>
        <w:widowControl w:val="0"/>
        <w:spacing w:after="240" w:line="240" w:lineRule="auto"/>
        <w:ind w:left="540" w:hanging="540"/>
        <w:rPr>
          <w:color w:val="000000"/>
        </w:rPr>
      </w:pPr>
      <w:r w:rsidRPr="00B24801">
        <w:rPr>
          <w:color w:val="000000"/>
        </w:rPr>
        <w:t xml:space="preserve">Poirier, Johanne. </w:t>
      </w:r>
      <w:r w:rsidRPr="00B24801">
        <w:t>« </w:t>
      </w:r>
      <w:r w:rsidRPr="00B24801">
        <w:rPr>
          <w:rStyle w:val="solexhl"/>
          <w:color w:val="000000"/>
        </w:rPr>
        <w:t xml:space="preserve">The 2018 Pan‐Canadian Securities Regulation </w:t>
      </w:r>
      <w:proofErr w:type="gramStart"/>
      <w:r w:rsidRPr="00B24801">
        <w:rPr>
          <w:rStyle w:val="solexhl"/>
          <w:color w:val="000000"/>
        </w:rPr>
        <w:t>Reference :</w:t>
      </w:r>
      <w:proofErr w:type="gramEnd"/>
      <w:r w:rsidRPr="00B24801">
        <w:rPr>
          <w:rStyle w:val="solexhl"/>
          <w:color w:val="000000"/>
        </w:rPr>
        <w:t xml:space="preserve"> Dualist Federalism to the Rescue of Cooperative Federalism</w:t>
      </w:r>
      <w:r w:rsidRPr="00B24801">
        <w:rPr>
          <w:i/>
        </w:rPr>
        <w:t> »</w:t>
      </w:r>
      <w:r w:rsidRPr="00B24801">
        <w:rPr>
          <w:color w:val="000000"/>
        </w:rPr>
        <w:t xml:space="preserve"> (2020), 94 </w:t>
      </w:r>
      <w:r w:rsidRPr="00B24801">
        <w:rPr>
          <w:i/>
          <w:iCs/>
          <w:color w:val="000000"/>
        </w:rPr>
        <w:t xml:space="preserve">S.C.L.R. </w:t>
      </w:r>
      <w:r w:rsidRPr="00B24801">
        <w:rPr>
          <w:color w:val="000000"/>
        </w:rPr>
        <w:t>(2d) 85.</w:t>
      </w:r>
    </w:p>
    <w:p w14:paraId="47DF58CD" w14:textId="77777777" w:rsidR="001162C6" w:rsidRPr="00B24801" w:rsidRDefault="00167D15">
      <w:pPr>
        <w:pStyle w:val="SCCNormalDoubleSpacing"/>
        <w:widowControl w:val="0"/>
        <w:spacing w:after="240" w:line="240" w:lineRule="auto"/>
        <w:ind w:left="540" w:hanging="540"/>
      </w:pPr>
      <w:r w:rsidRPr="00B24801">
        <w:t xml:space="preserve">Schwartz, Phineas. « Fiat by Declaration — S. 92(10)(c) of </w:t>
      </w:r>
      <w:r w:rsidRPr="00B24801">
        <w:rPr>
          <w:i/>
        </w:rPr>
        <w:t>The British North America Act »</w:t>
      </w:r>
      <w:r w:rsidRPr="00B24801">
        <w:t xml:space="preserve"> (1960), 2 </w:t>
      </w:r>
      <w:r w:rsidRPr="00B24801">
        <w:rPr>
          <w:i/>
        </w:rPr>
        <w:t xml:space="preserve">Osgoode Hall L.J. </w:t>
      </w:r>
      <w:r w:rsidRPr="00B24801">
        <w:t>1.</w:t>
      </w:r>
    </w:p>
    <w:p w14:paraId="5E5E8511" w14:textId="77777777" w:rsidR="001162C6" w:rsidRPr="00B24801" w:rsidRDefault="00167D15">
      <w:pPr>
        <w:pStyle w:val="SCCNormalDoubleSpacing"/>
        <w:widowControl w:val="0"/>
        <w:spacing w:after="240" w:line="240" w:lineRule="auto"/>
        <w:ind w:left="540" w:hanging="540"/>
      </w:pPr>
      <w:r w:rsidRPr="00B24801">
        <w:lastRenderedPageBreak/>
        <w:t xml:space="preserve">Webber, Jeremy. </w:t>
      </w:r>
      <w:r w:rsidRPr="00B24801">
        <w:rPr>
          <w:i/>
        </w:rPr>
        <w:t xml:space="preserve">The Constitution of </w:t>
      </w:r>
      <w:proofErr w:type="gramStart"/>
      <w:r w:rsidRPr="00B24801">
        <w:rPr>
          <w:i/>
        </w:rPr>
        <w:t>Canada :</w:t>
      </w:r>
      <w:proofErr w:type="gramEnd"/>
      <w:r w:rsidRPr="00B24801">
        <w:rPr>
          <w:i/>
        </w:rPr>
        <w:t xml:space="preserve"> A Contextual Analysis</w:t>
      </w:r>
      <w:r w:rsidRPr="00B24801">
        <w:t>, 2</w:t>
      </w:r>
      <w:r w:rsidRPr="00B24801">
        <w:rPr>
          <w:vertAlign w:val="superscript"/>
        </w:rPr>
        <w:t>e</w:t>
      </w:r>
      <w:r w:rsidRPr="00B24801">
        <w:t xml:space="preserve"> </w:t>
      </w:r>
      <w:proofErr w:type="spellStart"/>
      <w:r w:rsidRPr="00B24801">
        <w:t>éd</w:t>
      </w:r>
      <w:proofErr w:type="spellEnd"/>
      <w:r w:rsidRPr="00B24801">
        <w:t>., New York, Hart Publishing, 2021.</w:t>
      </w:r>
    </w:p>
    <w:p w14:paraId="6B23B9C9" w14:textId="77777777" w:rsidR="001162C6" w:rsidRPr="00B24801" w:rsidRDefault="00167D15">
      <w:pPr>
        <w:pStyle w:val="SCCNormalDoubleSpacing"/>
        <w:widowControl w:val="0"/>
        <w:spacing w:after="720" w:line="240" w:lineRule="auto"/>
        <w:ind w:left="540" w:hanging="540"/>
      </w:pPr>
      <w:proofErr w:type="spellStart"/>
      <w:r w:rsidRPr="00B24801">
        <w:rPr>
          <w:color w:val="000000"/>
        </w:rPr>
        <w:t>Wheare</w:t>
      </w:r>
      <w:proofErr w:type="spellEnd"/>
      <w:r w:rsidRPr="00B24801">
        <w:rPr>
          <w:color w:val="000000"/>
        </w:rPr>
        <w:t xml:space="preserve">, K. C. </w:t>
      </w:r>
      <w:r w:rsidRPr="00B24801">
        <w:rPr>
          <w:i/>
          <w:iCs/>
          <w:color w:val="000000"/>
        </w:rPr>
        <w:t>Federal Government</w:t>
      </w:r>
      <w:r w:rsidRPr="00B24801">
        <w:rPr>
          <w:color w:val="000000"/>
        </w:rPr>
        <w:t>, 4</w:t>
      </w:r>
      <w:r w:rsidRPr="00B24801">
        <w:rPr>
          <w:color w:val="000000"/>
          <w:vertAlign w:val="superscript"/>
        </w:rPr>
        <w:t>e</w:t>
      </w:r>
      <w:r w:rsidRPr="00B24801">
        <w:rPr>
          <w:color w:val="000000"/>
        </w:rPr>
        <w:t xml:space="preserve"> </w:t>
      </w:r>
      <w:proofErr w:type="spellStart"/>
      <w:r w:rsidRPr="00B24801">
        <w:rPr>
          <w:color w:val="000000"/>
        </w:rPr>
        <w:t>éd</w:t>
      </w:r>
      <w:proofErr w:type="spellEnd"/>
      <w:r w:rsidRPr="00B24801">
        <w:rPr>
          <w:color w:val="000000"/>
        </w:rPr>
        <w:t>., New York, Oxford University Press, 1963.</w:t>
      </w:r>
    </w:p>
    <w:p w14:paraId="549B4157" w14:textId="77777777" w:rsidR="001162C6" w:rsidRPr="00B24801" w:rsidRDefault="00167D15">
      <w:pPr>
        <w:pStyle w:val="SCCNormalDoubleSpacing"/>
        <w:widowControl w:val="0"/>
        <w:spacing w:before="720" w:after="480"/>
        <w:rPr>
          <w:lang w:val="fr-FR"/>
        </w:rPr>
      </w:pPr>
      <w:r w:rsidRPr="00B24801">
        <w:tab/>
      </w:r>
      <w:r w:rsidRPr="00B24801">
        <w:rPr>
          <w:lang w:val="fr-CA"/>
        </w:rPr>
        <w:t xml:space="preserve">POURVOI contre un arrêt de la </w:t>
      </w:r>
      <w:r w:rsidRPr="00B24801">
        <w:rPr>
          <w:lang w:val="fr-FR"/>
        </w:rPr>
        <w:t xml:space="preserve">Cour d’appel du Québec (les juges Schrager, Mainville et Hamilton), </w:t>
      </w:r>
      <w:hyperlink r:id="rId8" w:history="1">
        <w:r w:rsidRPr="00B24801">
          <w:rPr>
            <w:rStyle w:val="Hyperlien"/>
            <w:lang w:val="fr-FR"/>
          </w:rPr>
          <w:t>2024 QCCA 460</w:t>
        </w:r>
      </w:hyperlink>
      <w:r w:rsidRPr="00B24801">
        <w:rPr>
          <w:lang w:val="fr-FR"/>
        </w:rPr>
        <w:t xml:space="preserve">, [2024] J.Q. no 2930 (Lexis), AZ-52020616 (SOQUIJ), </w:t>
      </w:r>
      <w:r w:rsidRPr="00B24801">
        <w:rPr>
          <w:lang w:val="fr-CA"/>
        </w:rPr>
        <w:t>qui a confirmé une décision du juge Dufour,</w:t>
      </w:r>
      <w:r w:rsidRPr="00B24801">
        <w:rPr>
          <w:lang w:val="fr-FR"/>
        </w:rPr>
        <w:t xml:space="preserve"> 2023 QCCS 1186, [2023] J.Q. no 2776 (Lexis), AZ-51930428 (SOQUIJ). Pourvoi rejeté, le juge en chef Wagner et les juges Côté, </w:t>
      </w:r>
      <w:proofErr w:type="spellStart"/>
      <w:r w:rsidRPr="00B24801">
        <w:rPr>
          <w:lang w:val="fr-FR"/>
        </w:rPr>
        <w:t>Kasirer</w:t>
      </w:r>
      <w:proofErr w:type="spellEnd"/>
      <w:r w:rsidRPr="00B24801">
        <w:rPr>
          <w:lang w:val="fr-FR"/>
        </w:rPr>
        <w:t xml:space="preserve"> et O’Bonsawin sont dissidents.</w:t>
      </w:r>
      <w:r w:rsidRPr="00B24801">
        <w:rPr>
          <w:lang w:val="fr-CA"/>
        </w:rPr>
        <w:t xml:space="preserve"> </w:t>
      </w:r>
    </w:p>
    <w:p w14:paraId="6326810B" w14:textId="77777777" w:rsidR="001162C6" w:rsidRPr="00B24801" w:rsidRDefault="00167D15">
      <w:pPr>
        <w:pStyle w:val="SCCNormalDoubleSpacing"/>
        <w:widowControl w:val="0"/>
        <w:spacing w:after="480"/>
        <w:rPr>
          <w:lang w:val="fr-FR"/>
        </w:rPr>
      </w:pPr>
      <w:r w:rsidRPr="00B24801">
        <w:rPr>
          <w:rStyle w:val="SCCCounselNameChar"/>
          <w:lang w:val="fr-FR"/>
        </w:rPr>
        <w:tab/>
        <w:t>Samuel Chayer</w:t>
      </w:r>
      <w:r w:rsidRPr="00B24801">
        <w:rPr>
          <w:rStyle w:val="SCCCounselSeparatorChar"/>
          <w:lang w:val="fr-FR"/>
        </w:rPr>
        <w:t xml:space="preserve"> et </w:t>
      </w:r>
      <w:r w:rsidRPr="00B24801">
        <w:rPr>
          <w:rStyle w:val="SCCCounselNameChar"/>
          <w:lang w:val="fr-FR"/>
        </w:rPr>
        <w:t>Étienne Cloutier</w:t>
      </w:r>
      <w:r w:rsidRPr="00B24801">
        <w:rPr>
          <w:rStyle w:val="SCCCounselPartyRoleChar"/>
          <w:lang w:val="fr-FR"/>
        </w:rPr>
        <w:t>, pour l’appelant.</w:t>
      </w:r>
    </w:p>
    <w:p w14:paraId="5731660D" w14:textId="77777777" w:rsidR="001162C6" w:rsidRPr="00B24801" w:rsidRDefault="00167D15">
      <w:pPr>
        <w:pStyle w:val="SCCNormalDoubleSpacing"/>
        <w:widowControl w:val="0"/>
        <w:spacing w:after="480"/>
        <w:rPr>
          <w:lang w:val="fr-FR"/>
        </w:rPr>
      </w:pPr>
      <w:r w:rsidRPr="00B24801">
        <w:rPr>
          <w:rStyle w:val="SCCCounselNameChar"/>
          <w:lang w:val="fr-FR"/>
        </w:rPr>
        <w:tab/>
        <w:t>Claudia Desjardins Bélisle</w:t>
      </w:r>
      <w:r w:rsidRPr="00B24801">
        <w:rPr>
          <w:rStyle w:val="SCCCounselNameChar"/>
          <w:i w:val="0"/>
          <w:lang w:val="fr-FR"/>
        </w:rPr>
        <w:t>,</w:t>
      </w:r>
      <w:r w:rsidRPr="00B24801">
        <w:rPr>
          <w:rStyle w:val="SCCCounselNameChar"/>
          <w:lang w:val="fr-FR"/>
        </w:rPr>
        <w:t xml:space="preserve"> Philippe </w:t>
      </w:r>
      <w:proofErr w:type="spellStart"/>
      <w:r w:rsidRPr="00B24801">
        <w:rPr>
          <w:rStyle w:val="SCCCounselNameChar"/>
          <w:lang w:val="fr-FR"/>
        </w:rPr>
        <w:t>Larochelle</w:t>
      </w:r>
      <w:proofErr w:type="spellEnd"/>
      <w:r w:rsidRPr="00B24801">
        <w:rPr>
          <w:rStyle w:val="SCCCounselSeparatorChar"/>
          <w:lang w:val="fr-FR"/>
        </w:rPr>
        <w:t xml:space="preserve"> et </w:t>
      </w:r>
      <w:r w:rsidRPr="00B24801">
        <w:rPr>
          <w:rStyle w:val="SCCCounselNameChar"/>
          <w:lang w:val="fr-FR"/>
        </w:rPr>
        <w:t>Sophie Ouahbi Garcia</w:t>
      </w:r>
      <w:r w:rsidRPr="00B24801">
        <w:rPr>
          <w:rStyle w:val="SCCCounselPartyRoleChar"/>
          <w:lang w:val="fr-FR"/>
        </w:rPr>
        <w:t>, pour l’intimée.</w:t>
      </w:r>
    </w:p>
    <w:p w14:paraId="1D24DF82" w14:textId="77777777" w:rsidR="001162C6" w:rsidRPr="00B24801" w:rsidRDefault="00167D15">
      <w:pPr>
        <w:pStyle w:val="SCCNormalDoubleSpacing"/>
        <w:widowControl w:val="0"/>
        <w:spacing w:after="480"/>
        <w:rPr>
          <w:lang w:val="fr-FR"/>
        </w:rPr>
      </w:pPr>
      <w:r w:rsidRPr="00B24801">
        <w:rPr>
          <w:rStyle w:val="SCCCounselNameChar"/>
          <w:lang w:val="fr-FR"/>
        </w:rPr>
        <w:tab/>
        <w:t>John Provart</w:t>
      </w:r>
      <w:r w:rsidRPr="00B24801">
        <w:rPr>
          <w:rStyle w:val="SCCCounselSeparatorChar"/>
          <w:lang w:val="fr-FR"/>
        </w:rPr>
        <w:t xml:space="preserve"> et </w:t>
      </w:r>
      <w:r w:rsidRPr="00B24801">
        <w:rPr>
          <w:rStyle w:val="SCCCounselNameChar"/>
          <w:lang w:val="fr-FR"/>
        </w:rPr>
        <w:t>Justine Malone</w:t>
      </w:r>
      <w:r w:rsidRPr="00B24801">
        <w:rPr>
          <w:rStyle w:val="SCCCounselPartyRoleChar"/>
          <w:lang w:val="fr-FR"/>
        </w:rPr>
        <w:t>, pour l’intervenant le procureur général du Canada.</w:t>
      </w:r>
    </w:p>
    <w:p w14:paraId="2A9F4F73" w14:textId="77777777" w:rsidR="001162C6" w:rsidRPr="00B24801" w:rsidRDefault="00167D15">
      <w:pPr>
        <w:pStyle w:val="SCCNormalDoubleSpacing"/>
        <w:widowControl w:val="0"/>
        <w:spacing w:after="480"/>
        <w:rPr>
          <w:lang w:val="fr-FR"/>
        </w:rPr>
      </w:pPr>
      <w:r w:rsidRPr="00B24801">
        <w:rPr>
          <w:rStyle w:val="SCCCounselNameChar"/>
          <w:lang w:val="fr-FR"/>
        </w:rPr>
        <w:tab/>
        <w:t>Savitri Gordian</w:t>
      </w:r>
      <w:r w:rsidRPr="00B24801">
        <w:rPr>
          <w:rStyle w:val="SCCCounselSeparatorChar"/>
          <w:lang w:val="fr-FR"/>
        </w:rPr>
        <w:t xml:space="preserve"> et </w:t>
      </w:r>
      <w:r w:rsidRPr="00B24801">
        <w:rPr>
          <w:rStyle w:val="SCCCounselNameChar"/>
          <w:lang w:val="fr-FR"/>
        </w:rPr>
        <w:t>Sean Kissick</w:t>
      </w:r>
      <w:r w:rsidRPr="00B24801">
        <w:rPr>
          <w:rStyle w:val="SCCCounselPartyRoleChar"/>
          <w:lang w:val="fr-FR"/>
        </w:rPr>
        <w:t>, pour l’intervenant le procureur général de l’Ontario.</w:t>
      </w:r>
    </w:p>
    <w:p w14:paraId="3CB7C4B8" w14:textId="77777777" w:rsidR="001162C6" w:rsidRPr="00B24801" w:rsidRDefault="00167D15">
      <w:pPr>
        <w:pStyle w:val="SCCNormalDoubleSpacing"/>
        <w:widowControl w:val="0"/>
        <w:spacing w:after="480"/>
        <w:rPr>
          <w:rStyle w:val="SCCCounselNameChar"/>
          <w:lang w:val="fr-FR"/>
        </w:rPr>
      </w:pPr>
      <w:r w:rsidRPr="00B24801">
        <w:rPr>
          <w:rStyle w:val="SCCCounselNameChar"/>
          <w:lang w:val="fr-FR"/>
        </w:rPr>
        <w:tab/>
        <w:t>Barbara Mysko</w:t>
      </w:r>
      <w:r w:rsidRPr="00B24801">
        <w:rPr>
          <w:rStyle w:val="SCCCounselPartyRoleChar"/>
          <w:lang w:val="fr-FR"/>
        </w:rPr>
        <w:t>, pour l’intervenant le procureur général de la Saskatchewan.</w:t>
      </w:r>
      <w:r w:rsidRPr="00B24801">
        <w:rPr>
          <w:rStyle w:val="SCCCounselNameChar"/>
          <w:lang w:val="fr-FR"/>
        </w:rPr>
        <w:t xml:space="preserve"> </w:t>
      </w:r>
    </w:p>
    <w:p w14:paraId="7102ADCB" w14:textId="77777777" w:rsidR="001162C6" w:rsidRPr="00B24801" w:rsidRDefault="00167D15">
      <w:pPr>
        <w:pStyle w:val="SCCNormalDoubleSpacing"/>
        <w:widowControl w:val="0"/>
        <w:spacing w:after="480"/>
        <w:rPr>
          <w:rStyle w:val="SCCCounselNameChar"/>
          <w:lang w:val="fr-FR"/>
        </w:rPr>
      </w:pPr>
      <w:r w:rsidRPr="00B24801">
        <w:rPr>
          <w:rStyle w:val="SCCCounselNameChar"/>
          <w:lang w:val="fr-FR"/>
        </w:rPr>
        <w:tab/>
        <w:t>Jennifer L. Keliher</w:t>
      </w:r>
      <w:r w:rsidRPr="00B24801">
        <w:rPr>
          <w:rStyle w:val="SCCCounselPartyRoleChar"/>
          <w:lang w:val="fr-FR"/>
        </w:rPr>
        <w:t>, pour l’intervenant le procureur général de l’Alberta.</w:t>
      </w:r>
      <w:r w:rsidRPr="00B24801">
        <w:rPr>
          <w:rStyle w:val="SCCCounselNameChar"/>
          <w:lang w:val="fr-FR"/>
        </w:rPr>
        <w:t xml:space="preserve"> </w:t>
      </w:r>
    </w:p>
    <w:p w14:paraId="0ED2349E" w14:textId="77777777" w:rsidR="00B751E6" w:rsidRPr="00B24801" w:rsidRDefault="00167D15">
      <w:pPr>
        <w:pStyle w:val="SCCNormalDoubleSpacing"/>
        <w:widowControl w:val="0"/>
        <w:spacing w:after="480"/>
        <w:rPr>
          <w:rStyle w:val="SCCCounselPartyRoleChar"/>
          <w:lang w:val="fr-FR"/>
        </w:rPr>
      </w:pPr>
      <w:r w:rsidRPr="00B24801">
        <w:rPr>
          <w:rStyle w:val="SCCCounselNameChar"/>
          <w:lang w:val="fr-FR"/>
        </w:rPr>
        <w:lastRenderedPageBreak/>
        <w:tab/>
        <w:t>Kateri Hélène Racine</w:t>
      </w:r>
      <w:r w:rsidRPr="00B24801">
        <w:rPr>
          <w:rStyle w:val="SCCCounselSeparatorChar"/>
          <w:lang w:val="fr-FR"/>
        </w:rPr>
        <w:t xml:space="preserve"> et </w:t>
      </w:r>
      <w:r w:rsidRPr="00B24801">
        <w:rPr>
          <w:rStyle w:val="SCCCounselNameChar"/>
          <w:lang w:val="fr-FR"/>
        </w:rPr>
        <w:t>Vanessa Clermont-Isabelle</w:t>
      </w:r>
      <w:r w:rsidRPr="00B24801">
        <w:rPr>
          <w:rStyle w:val="SCCCounselPartyRoleChar"/>
          <w:lang w:val="fr-FR"/>
        </w:rPr>
        <w:t>, pour l’intervenant le Syndicat des travailleuses et travailleurs des industries manufacturières – CSN.</w:t>
      </w:r>
    </w:p>
    <w:p w14:paraId="31394C38" w14:textId="77777777" w:rsidR="00B751E6" w:rsidRPr="00B24801" w:rsidRDefault="00B751E6" w:rsidP="00B751E6">
      <w:pPr>
        <w:pStyle w:val="SCCNormalDoubleSpacing"/>
        <w:widowControl w:val="0"/>
        <w:spacing w:after="480"/>
        <w:rPr>
          <w:rStyle w:val="SCCCounselNameChar"/>
          <w:lang w:val="fr-FR"/>
        </w:rPr>
      </w:pPr>
      <w:r w:rsidRPr="00B24801">
        <w:rPr>
          <w:rStyle w:val="SCCCounselNameChar"/>
          <w:lang w:val="fr-FR"/>
        </w:rPr>
        <w:tab/>
      </w:r>
      <w:r w:rsidRPr="00B24801">
        <w:rPr>
          <w:lang w:val="fr-CA"/>
        </w:rPr>
        <w:t xml:space="preserve">Version française du jugement des juges </w:t>
      </w:r>
      <w:proofErr w:type="spellStart"/>
      <w:r w:rsidRPr="00B24801">
        <w:rPr>
          <w:lang w:val="fr-CA"/>
        </w:rPr>
        <w:t>Karakatsanis</w:t>
      </w:r>
      <w:proofErr w:type="spellEnd"/>
      <w:r w:rsidRPr="00B24801">
        <w:rPr>
          <w:lang w:val="fr-CA"/>
        </w:rPr>
        <w:t>, Rowe, Martin, Jamal et Moreau rendu par</w:t>
      </w:r>
      <w:r w:rsidRPr="00B24801">
        <w:rPr>
          <w:rStyle w:val="SCCCounselNameChar"/>
          <w:lang w:val="fr-FR"/>
        </w:rPr>
        <w:t xml:space="preserve"> </w:t>
      </w:r>
    </w:p>
    <w:p w14:paraId="7E2DCA5F" w14:textId="77777777" w:rsidR="00B751E6" w:rsidRPr="00B24801" w:rsidRDefault="00B751E6" w:rsidP="00D736BA">
      <w:pPr>
        <w:pStyle w:val="JudgeJuge"/>
        <w:tabs>
          <w:tab w:val="clear" w:pos="1260"/>
          <w:tab w:val="left" w:pos="1134"/>
        </w:tabs>
        <w:rPr>
          <w:rStyle w:val="SCCCounselNameChar"/>
          <w:i w:val="0"/>
        </w:rPr>
      </w:pPr>
      <w:r w:rsidRPr="00B24801">
        <w:tab/>
        <w:t xml:space="preserve">La juge Karakatsanis — </w:t>
      </w:r>
    </w:p>
    <w:p w14:paraId="3DB98A09" w14:textId="77777777" w:rsidR="00B751E6" w:rsidRPr="00B24801" w:rsidRDefault="00B751E6" w:rsidP="00B751E6">
      <w:pPr>
        <w:pStyle w:val="ParaNoNdepar-AltN"/>
        <w:rPr>
          <w:rFonts w:cs="Times New Roman"/>
        </w:rPr>
      </w:pPr>
      <w:bookmarkStart w:id="14" w:name="_Hlk227742342"/>
      <w:r w:rsidRPr="00B24801">
        <w:rPr>
          <w:rFonts w:cs="Times New Roman"/>
        </w:rPr>
        <w:t xml:space="preserve">Le présent pourvoi nous offre l’occasion de préciser la façon dont le Parlement peut acquérir compétence à l’égard d’employés qui travaillent dans le cadre d’ouvrages ou d’entreprises de nature fédérale. Bien que les relations de travail soient présumées relever de la province, cette présomption peut être réfutée dans des circonstances limitées. </w:t>
      </w:r>
    </w:p>
    <w:p w14:paraId="11F147ED" w14:textId="77777777" w:rsidR="00B751E6" w:rsidRPr="00B24801" w:rsidRDefault="00B751E6" w:rsidP="00B751E6">
      <w:pPr>
        <w:pStyle w:val="ParaNoNdepar-AltN"/>
        <w:rPr>
          <w:rFonts w:cs="Times New Roman"/>
        </w:rPr>
      </w:pPr>
      <w:r w:rsidRPr="00B24801">
        <w:rPr>
          <w:rFonts w:cs="Times New Roman"/>
        </w:rPr>
        <w:t xml:space="preserve">Les parties ne s’entendent pas quant à savoir quel ordre de gouvernement a compétence sur les relations de travail d’un groupe d’employés travaillant pour SGS Canada </w:t>
      </w:r>
      <w:proofErr w:type="spellStart"/>
      <w:r w:rsidRPr="00B24801">
        <w:rPr>
          <w:rFonts w:cs="Times New Roman"/>
        </w:rPr>
        <w:t>inc.</w:t>
      </w:r>
      <w:proofErr w:type="spellEnd"/>
      <w:r w:rsidRPr="00B24801">
        <w:rPr>
          <w:rFonts w:cs="Times New Roman"/>
        </w:rPr>
        <w:t xml:space="preserve">, une entreprise d’analyse, d’inspection et de certification qui offre ses services dans différents secteurs au Canada. Le litige concerne 14 inspecteurs et agents de classement de la succursale de Montréal de la Division agriculture et agroalimentaire de SGS, qui inspecte et certifie partout au pays les grains destinés au commerce interprovincial et à l’exportation. Le travail de la succursale de Montréal est presque exclusivement consacré aux six silos à grains le long du fleuve Saint-Laurent, qui ont tous été déclarés être des ouvrages de nature fédérale aux termes de l’al. 92(10)c) de la </w:t>
      </w:r>
      <w:r w:rsidRPr="00B24801">
        <w:rPr>
          <w:rFonts w:cs="Times New Roman"/>
          <w:i/>
          <w:iCs/>
        </w:rPr>
        <w:lastRenderedPageBreak/>
        <w:t>Loi constitutionnelle de 1867</w:t>
      </w:r>
      <w:r w:rsidRPr="00B24801">
        <w:rPr>
          <w:rFonts w:cs="Times New Roman"/>
        </w:rPr>
        <w:t xml:space="preserve"> (</w:t>
      </w:r>
      <w:r w:rsidRPr="00B24801">
        <w:rPr>
          <w:rFonts w:cs="Times New Roman"/>
          <w:i/>
          <w:iCs/>
        </w:rPr>
        <w:t>Loi sur les grains du Canada</w:t>
      </w:r>
      <w:r w:rsidRPr="00B24801">
        <w:rPr>
          <w:rFonts w:cs="Times New Roman"/>
        </w:rPr>
        <w:t>, L.R.C. 1985, c. G-10, par. 55(1))</w:t>
      </w:r>
      <w:r w:rsidRPr="00B24801">
        <w:rPr>
          <w:rStyle w:val="Hyperlien"/>
          <w:vertAlign w:val="superscript"/>
        </w:rPr>
        <w:footnoteReference w:id="1"/>
      </w:r>
      <w:r w:rsidRPr="00B24801">
        <w:rPr>
          <w:rFonts w:cs="Times New Roman"/>
        </w:rPr>
        <w:t xml:space="preserve">. </w:t>
      </w:r>
    </w:p>
    <w:p w14:paraId="7060FB9A" w14:textId="77777777" w:rsidR="00B751E6" w:rsidRPr="00B24801" w:rsidRDefault="00B751E6" w:rsidP="00B751E6">
      <w:pPr>
        <w:pStyle w:val="ParaNoNdepar-AltN"/>
        <w:rPr>
          <w:rFonts w:cs="Times New Roman"/>
        </w:rPr>
      </w:pPr>
      <w:r w:rsidRPr="00B24801">
        <w:rPr>
          <w:rFonts w:cs="Times New Roman"/>
        </w:rPr>
        <w:t xml:space="preserve">Le Tribunal administratif du travail, la Cour supérieure du Québec et la Cour d’appel du Québec ont convenu que les relations de travail de la succursale de Montréal relèvent de la compétence fédérale. Toutefois, ils ont tous adopté des approches différentes pour arriver à cette conclusion. </w:t>
      </w:r>
      <w:bookmarkStart w:id="15" w:name="_Hlk227761371"/>
    </w:p>
    <w:p w14:paraId="53A13F1A" w14:textId="77777777" w:rsidR="00B751E6" w:rsidRPr="00B24801" w:rsidRDefault="00B751E6" w:rsidP="00B751E6">
      <w:pPr>
        <w:pStyle w:val="ParaNoNdepar-AltN"/>
        <w:rPr>
          <w:rFonts w:cs="Times New Roman"/>
        </w:rPr>
      </w:pPr>
      <w:r w:rsidRPr="00B24801">
        <w:rPr>
          <w:rFonts w:eastAsia="MS Mincho" w:cs="Times New Roman"/>
        </w:rPr>
        <w:t xml:space="preserve">Les principes applicables ont été formulés plus récemment dans l’arrêt </w:t>
      </w:r>
      <w:r w:rsidRPr="00B24801">
        <w:rPr>
          <w:rFonts w:eastAsia="MS Mincho" w:cs="Times New Roman"/>
          <w:i/>
        </w:rPr>
        <w:t>Tessier Ltée c. Québec (Commission de la santé et de la sécurité du travail)</w:t>
      </w:r>
      <w:r w:rsidRPr="00B24801">
        <w:rPr>
          <w:rFonts w:eastAsia="MS Mincho" w:cs="Times New Roman"/>
        </w:rPr>
        <w:t>, 2012 CSC 23, [2012] 2 R.C.S. 3. Pour</w:t>
      </w:r>
      <w:r w:rsidRPr="00B24801">
        <w:rPr>
          <w:rFonts w:cs="Times New Roman"/>
        </w:rPr>
        <w:t xml:space="preserve"> établir si la compétence fédérale s’applique, le tribunal doit d’abord identifier </w:t>
      </w:r>
      <w:r w:rsidRPr="00B24801">
        <w:rPr>
          <w:rFonts w:eastAsia="MS Mincho" w:cs="Times New Roman"/>
        </w:rPr>
        <w:t xml:space="preserve">l’entité en cause et déterminer </w:t>
      </w:r>
      <w:r w:rsidRPr="00B24801">
        <w:rPr>
          <w:rFonts w:cs="Times New Roman"/>
        </w:rPr>
        <w:t xml:space="preserve">la nature fonctionnelle essentielle de celle-ci. </w:t>
      </w:r>
      <w:r w:rsidRPr="00B24801">
        <w:rPr>
          <w:rFonts w:eastAsia="Calibri" w:cs="Times New Roman"/>
        </w:rPr>
        <w:t xml:space="preserve">Si l’entité est une unité au sein d’une organisation commerciale, et non une organisation entière, le tribunal doit également être convaincu que l’unité </w:t>
      </w:r>
      <w:r w:rsidRPr="00B24801">
        <w:rPr>
          <w:rFonts w:cs="Times New Roman"/>
        </w:rPr>
        <w:t>est fonctionnellement distincte des autres unités au sein de l’organisation</w:t>
      </w:r>
      <w:r w:rsidRPr="00B24801">
        <w:rPr>
          <w:rFonts w:eastAsia="Calibri" w:cs="Times New Roman"/>
        </w:rPr>
        <w:t xml:space="preserve">. Ensuite, </w:t>
      </w:r>
      <w:r w:rsidRPr="00B24801">
        <w:rPr>
          <w:rFonts w:cs="Times New Roman"/>
        </w:rPr>
        <w:t>le tribunal doit se demander si les critères relatifs à la compétence fédérale directe ou à la compétence fédérale dérivée s’appliquent. La compétence directe s’applique si l’</w:t>
      </w:r>
      <w:r w:rsidRPr="00B24801">
        <w:rPr>
          <w:rFonts w:eastAsia="Calibri" w:cs="Times New Roman"/>
        </w:rPr>
        <w:t>entité possède, gère, contrôle ou exploite autrement</w:t>
      </w:r>
      <w:r w:rsidRPr="00B24801">
        <w:rPr>
          <w:rFonts w:cs="Times New Roman"/>
        </w:rPr>
        <w:t xml:space="preserve"> un ouvrage ou une entreprise de nature fédérale. La compétence dérivée s’applique si</w:t>
      </w:r>
      <w:r w:rsidRPr="00B24801">
        <w:rPr>
          <w:rFonts w:eastAsia="Calibri" w:cs="Times New Roman"/>
        </w:rPr>
        <w:t xml:space="preserve"> l’entité est un tiers qui fournit des </w:t>
      </w:r>
      <w:r w:rsidRPr="00B24801">
        <w:rPr>
          <w:rFonts w:eastAsia="Calibri" w:cs="Times New Roman"/>
        </w:rPr>
        <w:lastRenderedPageBreak/>
        <w:t>services qui sont fondamentaux, essentiels ou</w:t>
      </w:r>
      <w:r w:rsidRPr="00B24801">
        <w:rPr>
          <w:rFonts w:cs="Times New Roman"/>
        </w:rPr>
        <w:t xml:space="preserve"> </w:t>
      </w:r>
      <w:r w:rsidRPr="00B24801">
        <w:rPr>
          <w:rFonts w:eastAsia="Calibri" w:cs="Times New Roman"/>
        </w:rPr>
        <w:t>vitaux</w:t>
      </w:r>
      <w:r w:rsidRPr="00B24801">
        <w:rPr>
          <w:rFonts w:cs="Times New Roman"/>
        </w:rPr>
        <w:t xml:space="preserve"> pour un ou plusieurs ouvrages ou entreprises de nature fédérale,</w:t>
      </w:r>
      <w:r w:rsidRPr="00B24801">
        <w:rPr>
          <w:rFonts w:eastAsia="Calibri" w:cs="Times New Roman"/>
        </w:rPr>
        <w:t xml:space="preserve"> et que ces services sont importants pour l’entité même</w:t>
      </w:r>
      <w:r w:rsidRPr="00B24801">
        <w:rPr>
          <w:rFonts w:cs="Times New Roman"/>
        </w:rPr>
        <w:t>.</w:t>
      </w:r>
    </w:p>
    <w:p w14:paraId="6BFEA188" w14:textId="77777777" w:rsidR="00B751E6" w:rsidRPr="00B24801" w:rsidRDefault="00B751E6" w:rsidP="00B751E6">
      <w:pPr>
        <w:pStyle w:val="ParaNoNdepar-AltN"/>
        <w:rPr>
          <w:rFonts w:cs="Times New Roman"/>
        </w:rPr>
      </w:pPr>
      <w:r w:rsidRPr="00B24801">
        <w:rPr>
          <w:rFonts w:cs="Times New Roman"/>
        </w:rPr>
        <w:t>Ce cadre repose sur trois fondements. Premièrement, le gouvernement fédéral doit avoir la compétence analogue pour réglementer les relations de travail afin de conserver un contrôle effectif sur les opérations des ouvrages ou des entreprises de nature fédérale. Deuxièmement, en vue du respect du juste équilibre entre les pouvoirs législatifs établi dans la Constitution, la compétence fédérale ne doit pas empiéter sur les matières provinciales. Troisièmement, les groupes d’employés travaillant pour la même organisation ne devraient pas être divisés de manière artificielle et assujettis à des régimes de relations de travail différents, à moins que leurs fonctions soient divisibles.</w:t>
      </w:r>
    </w:p>
    <w:bookmarkEnd w:id="15"/>
    <w:p w14:paraId="2287DD7D" w14:textId="77777777" w:rsidR="00B751E6" w:rsidRPr="00B24801" w:rsidRDefault="00B751E6" w:rsidP="00B751E6">
      <w:pPr>
        <w:pStyle w:val="ParaNoNdepar-AltN"/>
        <w:rPr>
          <w:rFonts w:cs="Times New Roman"/>
        </w:rPr>
      </w:pPr>
      <w:r w:rsidRPr="00B24801">
        <w:rPr>
          <w:rFonts w:eastAsia="MS Mincho" w:cs="Times New Roman"/>
          <w:bCs/>
        </w:rPr>
        <w:t xml:space="preserve">La </w:t>
      </w:r>
      <w:r w:rsidRPr="00B24801">
        <w:rPr>
          <w:rFonts w:cs="Times New Roman"/>
        </w:rPr>
        <w:t>compétence fédérale en matière de travail est exceptionnelle et devrait être abordée de façon restrictive. Cependant, l’analyse fonctionnelle servant à établir la compétence fédérale sur les relations de travail demeure souple et fondée sur le contexte. Il ne s’agit pas d’une liste de contrôle stricte. Cela signifie que la partie qui invoque la compétence fédérale doit établir, sur le fondement de la preuve, qu’il existe un contrôle direct ou un lien fonctionnel et opérationnel suffisamment étroit avec un ou plusieurs ouvrages ou entreprises de nature fédérale identifiables.</w:t>
      </w:r>
    </w:p>
    <w:p w14:paraId="5148BA48" w14:textId="77777777" w:rsidR="00B751E6" w:rsidRPr="00B24801" w:rsidRDefault="00B751E6" w:rsidP="00B751E6">
      <w:pPr>
        <w:pStyle w:val="ParaNoNdepar-AltN"/>
        <w:rPr>
          <w:rFonts w:cs="Times New Roman"/>
        </w:rPr>
      </w:pPr>
      <w:r w:rsidRPr="00B24801">
        <w:rPr>
          <w:rFonts w:cs="Times New Roman"/>
        </w:rPr>
        <w:t xml:space="preserve">Je conclus que les relations de travail de la succursale de Montréal relèvent de la compétence fédérale. La succursale de Montréal constitue une unité fonctionnellement distincte au sein de SGS, car elle </w:t>
      </w:r>
      <w:r w:rsidRPr="00B24801">
        <w:rPr>
          <w:rFonts w:eastAsia="Times New Roman" w:cs="Times New Roman"/>
        </w:rPr>
        <w:t xml:space="preserve">est en grande partie gérée de </w:t>
      </w:r>
      <w:r w:rsidRPr="00B24801">
        <w:rPr>
          <w:rFonts w:eastAsia="Times New Roman" w:cs="Times New Roman"/>
        </w:rPr>
        <w:lastRenderedPageBreak/>
        <w:t xml:space="preserve">manière indépendante, et </w:t>
      </w:r>
      <w:r w:rsidRPr="00B24801">
        <w:rPr>
          <w:rFonts w:cs="Times New Roman"/>
        </w:rPr>
        <w:t xml:space="preserve">ses opérations et ses clients sont distincts des autres succursales de la Division agriculture et agroalimentaire de SGS. Les 14 inspecteurs et agents de classement de la succursale de Montréal travaillent principalement pour six silos à grains. Et comme ils sont des employés d’un tiers qui n’exploite pas l’ouvrage ou l’entreprise de nature fédérale même, la compétence directe ne s’applique pas. Leurs relations de travail relèvent plutôt de la compétence dérivée. Contrairement au reste de la société, la succursale se consacre à l’inspection des grains au Québec, et ces fonctions font partie intégrante de </w:t>
      </w:r>
      <w:proofErr w:type="spellStart"/>
      <w:r w:rsidRPr="00B24801">
        <w:rPr>
          <w:rFonts w:cs="Times New Roman"/>
        </w:rPr>
        <w:t>Viterra</w:t>
      </w:r>
      <w:proofErr w:type="spellEnd"/>
      <w:r w:rsidRPr="00B24801">
        <w:rPr>
          <w:rFonts w:cs="Times New Roman"/>
        </w:rPr>
        <w:t xml:space="preserve">, sa cliente principale qui exploite le silo à grains de Montréal, ainsi que des cinq autres silos à grains qui longent le fleuve </w:t>
      </w:r>
      <w:r w:rsidRPr="00B24801">
        <w:rPr>
          <w:rFonts w:cs="Times New Roman"/>
          <w:lang w:bidi="en-US"/>
        </w:rPr>
        <w:t>Saint-Laurent. Ce travail est aussi important pour la succursale elle-même : 90 p. 100 des services de la succursale sont consacrés à ces ouvrages de nature fédérale</w:t>
      </w:r>
      <w:r w:rsidRPr="00B24801">
        <w:rPr>
          <w:rFonts w:cs="Times New Roman"/>
        </w:rPr>
        <w:t>.</w:t>
      </w:r>
    </w:p>
    <w:p w14:paraId="6E1F4CFF" w14:textId="77777777" w:rsidR="00B751E6" w:rsidRPr="00B24801" w:rsidRDefault="00B751E6" w:rsidP="00B751E6">
      <w:pPr>
        <w:pStyle w:val="ParaNoNdepar-AltN"/>
        <w:rPr>
          <w:rFonts w:cs="Times New Roman"/>
        </w:rPr>
      </w:pPr>
      <w:r w:rsidRPr="00B24801">
        <w:rPr>
          <w:rFonts w:cs="Times New Roman"/>
        </w:rPr>
        <w:t xml:space="preserve">À l’instar du Tribunal et de l’ensemble des juges des instances inférieures, je conclus que le </w:t>
      </w:r>
      <w:r w:rsidRPr="00B24801">
        <w:rPr>
          <w:rFonts w:cs="Times New Roman"/>
          <w:i/>
          <w:iCs/>
        </w:rPr>
        <w:t>Code du travail</w:t>
      </w:r>
      <w:r w:rsidRPr="00B24801">
        <w:rPr>
          <w:rFonts w:cs="Times New Roman"/>
        </w:rPr>
        <w:t xml:space="preserve">, RLRQ, c. C-27, du Québec est inapplicable aux 14 employés </w:t>
      </w:r>
      <w:r w:rsidRPr="00B24801">
        <w:rPr>
          <w:rFonts w:cs="Times New Roman"/>
          <w:lang w:bidi="en-US"/>
        </w:rPr>
        <w:t xml:space="preserve">de la succursale </w:t>
      </w:r>
      <w:r w:rsidRPr="00B24801">
        <w:rPr>
          <w:rFonts w:cs="Times New Roman"/>
        </w:rPr>
        <w:t xml:space="preserve">de Montréal. Je suis d’avis de rejeter le pourvoi. </w:t>
      </w:r>
    </w:p>
    <w:p w14:paraId="41D9C19B" w14:textId="77777777" w:rsidR="00B751E6" w:rsidRPr="00B24801" w:rsidRDefault="00B751E6" w:rsidP="00B751E6">
      <w:pPr>
        <w:pStyle w:val="ParaNoNdepar-AltN"/>
        <w:rPr>
          <w:rFonts w:cs="Times New Roman"/>
        </w:rPr>
      </w:pPr>
      <w:r w:rsidRPr="00B24801">
        <w:rPr>
          <w:rFonts w:cs="Times New Roman"/>
        </w:rPr>
        <w:t xml:space="preserve">Mon collègue cherche à transformer une simple application de précédents en un rajustement du fédéralisme canadien. Il affirme que le présent pourvoi « donne l’occasion de vérifier les limites de l’exercice ciblé du pouvoir déclaratoire » qui est susceptible d’avoir pour effet « d’étendre la compétence fédérale en matière de relations de travail d’une manière qui va carrément à l’encontre du principe du fédéralisme » (par. 135). Je ne suis pas de cet avis. Le pouvoir déclaratoire est validement exercé, et aucune des parties ne nous a demandé d’en réexaminer la portée </w:t>
      </w:r>
      <w:r w:rsidRPr="00B24801">
        <w:rPr>
          <w:rFonts w:cs="Times New Roman"/>
        </w:rPr>
        <w:lastRenderedPageBreak/>
        <w:t>ou la légitimité. Les seules questions en litige dont nous sommes saisis visent à déterminer si les relations de travail de 14 employés de la succursale de Montréal devraient être assujetties à la réglementation fédérale. Je rejette les motifs de mon collègue quant à la nécessité de réviser ou de rééquilibrer ces principes dans le cadre du présent pourvoi. Je suis également en désaccord avec sa reformulation des cadres d’analyse établis depuis longtemps, notamment le critère</w:t>
      </w:r>
      <w:r w:rsidRPr="00B24801">
        <w:rPr>
          <w:rFonts w:eastAsia="Calibri" w:cs="Times New Roman"/>
        </w:rPr>
        <w:t xml:space="preserve"> </w:t>
      </w:r>
      <w:r w:rsidRPr="00B24801">
        <w:rPr>
          <w:rFonts w:cs="Times New Roman"/>
        </w:rPr>
        <w:t xml:space="preserve">relatif à la compétence dérivée. </w:t>
      </w:r>
    </w:p>
    <w:bookmarkEnd w:id="14"/>
    <w:p w14:paraId="59E53199" w14:textId="77777777" w:rsidR="00B751E6" w:rsidRPr="00B24801" w:rsidRDefault="00B751E6" w:rsidP="00B751E6">
      <w:pPr>
        <w:pStyle w:val="Title1LevelTitre1Niveau-AltL"/>
        <w:spacing w:line="259" w:lineRule="auto"/>
        <w:rPr>
          <w:rFonts w:cs="Times New Roman"/>
        </w:rPr>
      </w:pPr>
      <w:r w:rsidRPr="00B24801">
        <w:rPr>
          <w:rFonts w:cs="Times New Roman"/>
        </w:rPr>
        <w:t>Contexte</w:t>
      </w:r>
    </w:p>
    <w:p w14:paraId="48AC8FB3" w14:textId="77777777" w:rsidR="00B751E6" w:rsidRPr="00B24801" w:rsidRDefault="00B751E6" w:rsidP="00B751E6">
      <w:pPr>
        <w:pStyle w:val="Title2LevelTitre2Niveau"/>
        <w:rPr>
          <w:rFonts w:cs="Times New Roman"/>
        </w:rPr>
      </w:pPr>
      <w:r w:rsidRPr="00B24801">
        <w:rPr>
          <w:rFonts w:cs="Times New Roman"/>
        </w:rPr>
        <w:t>La réglementation des silos à grains et l’inspection des grains conformément à la</w:t>
      </w:r>
      <w:r w:rsidRPr="00B24801">
        <w:rPr>
          <w:rFonts w:cs="Times New Roman"/>
          <w:iCs/>
        </w:rPr>
        <w:t xml:space="preserve"> Loi sur les grains du Canada</w:t>
      </w:r>
    </w:p>
    <w:p w14:paraId="1F11AD0E" w14:textId="77777777" w:rsidR="00B751E6" w:rsidRPr="00B24801" w:rsidRDefault="00B751E6" w:rsidP="00B751E6">
      <w:pPr>
        <w:pStyle w:val="ParaNoNdepar-AltN"/>
        <w:tabs>
          <w:tab w:val="clear" w:pos="1152"/>
          <w:tab w:val="left" w:pos="1166"/>
        </w:tabs>
        <w:rPr>
          <w:rFonts w:eastAsia="Times New Roman" w:cs="Times New Roman"/>
        </w:rPr>
      </w:pPr>
      <w:r w:rsidRPr="00B24801">
        <w:rPr>
          <w:rFonts w:cs="Times New Roman"/>
        </w:rPr>
        <w:t xml:space="preserve">La Commission canadienne des grains régit l’industrie des grains en application de la </w:t>
      </w:r>
      <w:r w:rsidRPr="00B24801">
        <w:rPr>
          <w:rFonts w:cs="Times New Roman"/>
          <w:i/>
          <w:iCs/>
        </w:rPr>
        <w:t>Loi sur les grains du Canada</w:t>
      </w:r>
      <w:r w:rsidRPr="00B24801">
        <w:rPr>
          <w:rFonts w:cs="Times New Roman"/>
        </w:rPr>
        <w:t xml:space="preserve">. Suivant cette loi, la Commission établit et met en application des normes d’inspection et de classement des grains. </w:t>
      </w:r>
    </w:p>
    <w:p w14:paraId="0428C290" w14:textId="77777777" w:rsidR="00B751E6" w:rsidRPr="00B24801" w:rsidRDefault="00B751E6" w:rsidP="00B751E6">
      <w:pPr>
        <w:pStyle w:val="ParaNoNdepar-AltN"/>
        <w:tabs>
          <w:tab w:val="clear" w:pos="1152"/>
          <w:tab w:val="left" w:pos="1166"/>
        </w:tabs>
        <w:rPr>
          <w:rFonts w:eastAsia="Times New Roman" w:cs="Times New Roman"/>
        </w:rPr>
      </w:pPr>
      <w:bookmarkStart w:id="16" w:name="_Hlk228112010"/>
      <w:r w:rsidRPr="00B24801">
        <w:rPr>
          <w:rFonts w:cs="Times New Roman"/>
        </w:rPr>
        <w:t xml:space="preserve">Les silos à grains sont des infrastructures essentielles dans l’industrie des grains au Canada. Ils servent de plaques tournantes où les grains sont reçus, nettoyés, séchés, entreposés, classifiés et mélangés, et facilitent leur acheminement des fermes aux marchés intérieurs et internationaux. La plupart des inspections de grains s’y font également. L’inspection est faite dès la livraison, se poursuit tout au long de l’entreposage et est effectuée une autre fois avant le chargement des grains pour le transport interprovincial ou international. </w:t>
      </w:r>
    </w:p>
    <w:bookmarkEnd w:id="16"/>
    <w:p w14:paraId="2ABCC4F0" w14:textId="77777777" w:rsidR="00B751E6" w:rsidRPr="00B24801" w:rsidRDefault="00B751E6" w:rsidP="00B751E6">
      <w:pPr>
        <w:pStyle w:val="ParaNoNdepar-AltN"/>
        <w:rPr>
          <w:rFonts w:eastAsia="Times New Roman" w:cs="Times New Roman"/>
        </w:rPr>
      </w:pPr>
      <w:r w:rsidRPr="00B24801">
        <w:rPr>
          <w:rFonts w:cs="Times New Roman"/>
        </w:rPr>
        <w:lastRenderedPageBreak/>
        <w:t xml:space="preserve">Les silos à grains relèvent de la compétence fédérale parce qu’ils sont des ouvrages déclarés « à l’avantage général du Canada » comme le prévoit le par. 55(1) de la </w:t>
      </w:r>
      <w:r w:rsidRPr="00B24801">
        <w:rPr>
          <w:rFonts w:cs="Times New Roman"/>
          <w:i/>
          <w:iCs/>
        </w:rPr>
        <w:t>Loi sur les grains du Canada</w:t>
      </w:r>
      <w:r w:rsidRPr="00B24801">
        <w:rPr>
          <w:rStyle w:val="Hyperlien"/>
          <w:vertAlign w:val="superscript"/>
        </w:rPr>
        <w:footnoteReference w:id="2"/>
      </w:r>
      <w:r w:rsidRPr="00B24801">
        <w:rPr>
          <w:rFonts w:cs="Times New Roman"/>
        </w:rPr>
        <w:t xml:space="preserve">. Le paragraphe se lit comme suit : </w:t>
      </w:r>
    </w:p>
    <w:p w14:paraId="26DBEEA0" w14:textId="77777777" w:rsidR="00B751E6" w:rsidRPr="00B24801" w:rsidRDefault="00B751E6" w:rsidP="00B751E6">
      <w:pPr>
        <w:pStyle w:val="Citation-AltC"/>
        <w:spacing w:after="480"/>
        <w:ind w:left="1168"/>
        <w:contextualSpacing w:val="0"/>
      </w:pPr>
      <w:r w:rsidRPr="00B24801">
        <w:rPr>
          <w:b/>
          <w:bCs/>
        </w:rPr>
        <w:t>55</w:t>
      </w:r>
      <w:r w:rsidRPr="00B24801">
        <w:t xml:space="preserve"> </w:t>
      </w:r>
      <w:r w:rsidRPr="00B24801">
        <w:rPr>
          <w:rFonts w:eastAsiaTheme="minorEastAsia"/>
          <w:b/>
          <w:bCs/>
        </w:rPr>
        <w:t>(1)</w:t>
      </w:r>
      <w:r w:rsidRPr="00B24801">
        <w:t xml:space="preserve"> Toutes les installations du Canada, actuelles et futures, [. . .] constituent, collectivement et séparément, des ouvrages à l’avantage général du Canada.</w:t>
      </w:r>
    </w:p>
    <w:p w14:paraId="5E5E35E2" w14:textId="77777777" w:rsidR="00B751E6" w:rsidRPr="00B24801" w:rsidRDefault="00B751E6" w:rsidP="00B751E6">
      <w:pPr>
        <w:pStyle w:val="Citation-AltC"/>
        <w:rPr>
          <w:lang w:val="en-CA"/>
        </w:rPr>
      </w:pPr>
      <w:r w:rsidRPr="00B24801">
        <w:rPr>
          <w:b/>
          <w:bCs/>
          <w:lang w:val="en-CA"/>
        </w:rPr>
        <w:t>55</w:t>
      </w:r>
      <w:r w:rsidRPr="00B24801">
        <w:rPr>
          <w:lang w:val="en-CA"/>
        </w:rPr>
        <w:t xml:space="preserve"> </w:t>
      </w:r>
      <w:r w:rsidRPr="00B24801">
        <w:rPr>
          <w:rFonts w:eastAsiaTheme="minorEastAsia"/>
          <w:b/>
          <w:bCs/>
          <w:lang w:val="en-CA"/>
        </w:rPr>
        <w:t>(1)</w:t>
      </w:r>
      <w:r w:rsidRPr="00B24801">
        <w:rPr>
          <w:lang w:val="en-CA"/>
        </w:rPr>
        <w:t xml:space="preserve"> All elevators in Canada heretofore or hereafter constructed, . . . are and each of them is hereby declared to be a work or works for the general advantage of Canada.</w:t>
      </w:r>
    </w:p>
    <w:p w14:paraId="5F45FD0F" w14:textId="77777777" w:rsidR="00B751E6" w:rsidRPr="00B24801" w:rsidRDefault="00B751E6" w:rsidP="00B751E6">
      <w:pPr>
        <w:pStyle w:val="ParaNoNdepar-AltN"/>
        <w:rPr>
          <w:rFonts w:eastAsia="Times New Roman" w:cs="Times New Roman"/>
        </w:rPr>
      </w:pPr>
      <w:r w:rsidRPr="00B24801">
        <w:rPr>
          <w:rFonts w:cs="Times New Roman"/>
        </w:rPr>
        <w:t xml:space="preserve">Pendant des décennies, la Commission a inspecté tous les grains pour s’assurer de leur conformité avec la </w:t>
      </w:r>
      <w:r w:rsidRPr="00B24801">
        <w:rPr>
          <w:rFonts w:cs="Times New Roman"/>
          <w:i/>
          <w:iCs/>
        </w:rPr>
        <w:t>Loi sur les grains du Canada</w:t>
      </w:r>
      <w:r w:rsidRPr="00B24801">
        <w:rPr>
          <w:rFonts w:cs="Times New Roman"/>
        </w:rPr>
        <w:t>. Depuis 2012, elle n’inspecte que ceux qui sont destinés à l’exportation. En ce qui concerne le commerce interprovincial, la Commission a autorisé cinq tiers à inspecter les grains pour s’assurer de leur conformité avec les normes qu’elle a établies.</w:t>
      </w:r>
    </w:p>
    <w:p w14:paraId="1B0A201D" w14:textId="77777777" w:rsidR="00B751E6" w:rsidRPr="00B24801" w:rsidRDefault="00B751E6" w:rsidP="00B751E6">
      <w:pPr>
        <w:pStyle w:val="ParaNoNdepar-AltN"/>
        <w:numPr>
          <w:ilvl w:val="0"/>
          <w:numId w:val="0"/>
        </w:numPr>
        <w:rPr>
          <w:rFonts w:eastAsia="Times New Roman" w:cs="Times New Roman"/>
        </w:rPr>
      </w:pPr>
      <w:r w:rsidRPr="00B24801">
        <w:rPr>
          <w:rFonts w:eastAsia="Times New Roman" w:cs="Times New Roman"/>
        </w:rPr>
        <w:t>B.</w:t>
      </w:r>
      <w:r w:rsidRPr="00B24801">
        <w:rPr>
          <w:rFonts w:eastAsia="Times New Roman" w:cs="Times New Roman"/>
        </w:rPr>
        <w:tab/>
      </w:r>
      <w:r w:rsidRPr="00B24801">
        <w:rPr>
          <w:rFonts w:eastAsia="Times New Roman" w:cs="Times New Roman"/>
          <w:i/>
        </w:rPr>
        <w:t xml:space="preserve">SGS Canada </w:t>
      </w:r>
      <w:proofErr w:type="spellStart"/>
      <w:r w:rsidRPr="00B24801">
        <w:rPr>
          <w:rFonts w:eastAsia="Times New Roman" w:cs="Times New Roman"/>
          <w:i/>
        </w:rPr>
        <w:t>inc.</w:t>
      </w:r>
      <w:proofErr w:type="spellEnd"/>
    </w:p>
    <w:p w14:paraId="6E7EAF15" w14:textId="77777777" w:rsidR="00B751E6" w:rsidRPr="00B24801" w:rsidRDefault="00B751E6" w:rsidP="00B751E6">
      <w:pPr>
        <w:pStyle w:val="ParaNoNdepar-AltN"/>
        <w:rPr>
          <w:rFonts w:cs="Times New Roman"/>
        </w:rPr>
      </w:pPr>
      <w:r w:rsidRPr="00B24801">
        <w:rPr>
          <w:rFonts w:cs="Times New Roman"/>
        </w:rPr>
        <w:t xml:space="preserve">SGS est l’une de ces tierces parties. Elle offre divers services d’analyse de produits, de contrôle de la qualité et de certification dans 18 différents secteurs partout au Canada, y compris celui de l’agriculture. La Division agriculture et agroalimentaire </w:t>
      </w:r>
      <w:r w:rsidRPr="00B24801">
        <w:rPr>
          <w:rFonts w:cs="Times New Roman"/>
        </w:rPr>
        <w:lastRenderedPageBreak/>
        <w:t xml:space="preserve">de la société est la seule qui est spécialisée dans l’agriculture. Elle effectue 80 p. 100 des analyses pour l’ensemble du marché canadien du grain. </w:t>
      </w:r>
    </w:p>
    <w:p w14:paraId="0D0F9B76" w14:textId="77777777" w:rsidR="00B751E6" w:rsidRPr="00B24801" w:rsidRDefault="00B751E6" w:rsidP="00B751E6">
      <w:pPr>
        <w:pStyle w:val="ParaNoNdepar-AltN"/>
        <w:rPr>
          <w:rFonts w:cs="Times New Roman"/>
        </w:rPr>
      </w:pPr>
      <w:r w:rsidRPr="00B24801">
        <w:rPr>
          <w:rFonts w:cs="Times New Roman"/>
        </w:rPr>
        <w:t>La Division compte huit succursales au Canada — l’une d’elles étant celle de Montréal. La succursale est un organisme indépendant d’inspection et de surveillance qui délivre des certificats de conformité au nom de SGS. C’est la seule succursale de la Division qui exerce des activités au Québec.</w:t>
      </w:r>
    </w:p>
    <w:p w14:paraId="2ACBC7D3" w14:textId="77777777" w:rsidR="00B751E6" w:rsidRPr="00B24801" w:rsidRDefault="00B751E6" w:rsidP="00B751E6">
      <w:pPr>
        <w:pStyle w:val="ParaNoNdepar-AltN"/>
        <w:rPr>
          <w:rFonts w:cs="Times New Roman"/>
        </w:rPr>
      </w:pPr>
      <w:r w:rsidRPr="00B24801">
        <w:rPr>
          <w:rFonts w:cs="Times New Roman"/>
        </w:rPr>
        <w:t xml:space="preserve">SGS joue différents rôles selon que le grain qu’elle inspecte est vendu sur le marché interprovincial ou à l’international. Dans le cas du commerce interprovincial, la Division joue le rôle que lui confère la loi. Elle fait l’échantillonnage, l’inspection, le classement et la pesée des grains pour s’assurer de la conformité avec les normes établies par la Commission (voir la </w:t>
      </w:r>
      <w:r w:rsidRPr="00B24801">
        <w:rPr>
          <w:rFonts w:cs="Times New Roman"/>
          <w:i/>
          <w:iCs/>
        </w:rPr>
        <w:t>Loi sur les grains du Canada</w:t>
      </w:r>
      <w:r w:rsidRPr="00B24801">
        <w:rPr>
          <w:rFonts w:cs="Times New Roman"/>
        </w:rPr>
        <w:t xml:space="preserve">, art. 69.1, 70 et 70.3). De plus, elle attribue un grade aux grains, lequel doit être transmis avec toute cargaison expédiée (art. 32 et 33). Dans le cas de l’exportation, les sociétés se fient aux services de la Division pour des raisons commerciales : elles veulent s’assurer qu’elles respectent les normes relatives à l’exportation internationale, ou celles imposées par d’autres pays, avant l’inspection de la Commission et avant le chargement du grain sur un navire ou un camion. </w:t>
      </w:r>
    </w:p>
    <w:p w14:paraId="66BDA7D7" w14:textId="77777777" w:rsidR="00B751E6" w:rsidRPr="00B24801" w:rsidRDefault="00B751E6" w:rsidP="00B751E6">
      <w:pPr>
        <w:pStyle w:val="ParaNoNdepar-AltN"/>
        <w:rPr>
          <w:rFonts w:cs="Times New Roman"/>
        </w:rPr>
      </w:pPr>
      <w:r w:rsidRPr="00B24801">
        <w:rPr>
          <w:rFonts w:cs="Times New Roman"/>
        </w:rPr>
        <w:t xml:space="preserve">De cette façon, la Division facilite l’acheminement du grain entre les silos et les partenaires commerciaux. Dans tous les cas, les certificats de SGS garantissent la nature et la qualité du produit, ce qui fournit aux acheteurs l’assurance du respect des </w:t>
      </w:r>
      <w:r w:rsidRPr="00B24801">
        <w:rPr>
          <w:rFonts w:cs="Times New Roman"/>
        </w:rPr>
        <w:lastRenderedPageBreak/>
        <w:t>normes. Sans de tels certificats d’inspection, les transactions ne seraient pas conclues et le grain ne serait pas chargé et ne serait pas expédié vers sa destination.</w:t>
      </w:r>
    </w:p>
    <w:p w14:paraId="14DCDA2B" w14:textId="77777777" w:rsidR="00B751E6" w:rsidRPr="00B24801" w:rsidRDefault="00B751E6" w:rsidP="00B751E6">
      <w:pPr>
        <w:pStyle w:val="Title1LevelTitre1Niveau-AltL"/>
        <w:numPr>
          <w:ilvl w:val="0"/>
          <w:numId w:val="10"/>
        </w:numPr>
        <w:rPr>
          <w:rFonts w:cs="Times New Roman"/>
          <w:i/>
          <w:u w:val="none"/>
        </w:rPr>
      </w:pPr>
      <w:r w:rsidRPr="00B24801">
        <w:rPr>
          <w:rFonts w:cs="Times New Roman"/>
          <w:i/>
          <w:u w:val="none"/>
        </w:rPr>
        <w:t>L’unité proposée</w:t>
      </w:r>
    </w:p>
    <w:p w14:paraId="77AA6F25" w14:textId="77777777" w:rsidR="00B751E6" w:rsidRPr="00B24801" w:rsidRDefault="00B751E6" w:rsidP="00B751E6">
      <w:pPr>
        <w:pStyle w:val="ParaNoNdepar-AltN"/>
        <w:tabs>
          <w:tab w:val="clear" w:pos="1152"/>
          <w:tab w:val="left" w:pos="1166"/>
        </w:tabs>
        <w:rPr>
          <w:rFonts w:cs="Times New Roman"/>
        </w:rPr>
      </w:pPr>
      <w:r w:rsidRPr="00B24801">
        <w:rPr>
          <w:rFonts w:cs="Times New Roman"/>
        </w:rPr>
        <w:t>Quatorze inspecteurs et agents de classement qui travaillent à la succursale de Montréal de la Division agriculture et agroalimentaire de SGS composent l’unité de négociation proposée</w:t>
      </w:r>
      <w:r w:rsidRPr="00171330">
        <w:rPr>
          <w:rStyle w:val="Hyperlien"/>
          <w:vertAlign w:val="superscript"/>
        </w:rPr>
        <w:footnoteReference w:id="3"/>
      </w:r>
      <w:r w:rsidRPr="00B24801">
        <w:rPr>
          <w:rFonts w:cs="Times New Roman"/>
        </w:rPr>
        <w:t xml:space="preserve">. Les inspecteurs prélèvent des échantillons de grains, effectuent des analyses de base et évaluent si les silos à grains sont suffisamment propres pour être remplis de grains. Les agents de classement effectuent des analyses sur des échantillons de grain pour les classer en fonction du poids, de la couleur et de la présence d’imperfections. Le classement par grades des grains dicte les prix et la qualité marchande. Les inspecteurs et les agents de classement font leur travail conformément aux normes établies par la Commission. </w:t>
      </w:r>
    </w:p>
    <w:p w14:paraId="6076E23D" w14:textId="77777777" w:rsidR="00B751E6" w:rsidRPr="00B24801" w:rsidRDefault="00B751E6" w:rsidP="00B751E6">
      <w:pPr>
        <w:pStyle w:val="ParaNoNdepar-AltN"/>
        <w:tabs>
          <w:tab w:val="clear" w:pos="1152"/>
          <w:tab w:val="left" w:pos="1166"/>
        </w:tabs>
        <w:rPr>
          <w:rFonts w:cs="Times New Roman"/>
        </w:rPr>
      </w:pPr>
      <w:r w:rsidRPr="00B24801">
        <w:rPr>
          <w:rFonts w:cs="Times New Roman"/>
        </w:rPr>
        <w:t>La succursale de Montréal fonctionne indépendamment des autres succursales de la Division. Bien que les ressources humaines, la gestion de la paie et la plupart des contacts avec les clients soient centralisés par SGS, la succursale a ses propres finances, infrastructures, locaux et employés. En outre, les employés de la succursale ne sont pas subordonnés aux employés des autres succursales ni ne coopèrent avec eux pour effectuer leur travail.</w:t>
      </w:r>
    </w:p>
    <w:p w14:paraId="4BD22B7B" w14:textId="77777777" w:rsidR="00B751E6" w:rsidRPr="00B24801" w:rsidRDefault="00B751E6" w:rsidP="00B751E6">
      <w:pPr>
        <w:pStyle w:val="ParaNoNdepar-AltN"/>
        <w:tabs>
          <w:tab w:val="clear" w:pos="1152"/>
          <w:tab w:val="left" w:pos="1166"/>
        </w:tabs>
        <w:rPr>
          <w:rFonts w:cs="Times New Roman"/>
        </w:rPr>
      </w:pPr>
      <w:r w:rsidRPr="00B24801">
        <w:rPr>
          <w:rFonts w:cs="Times New Roman"/>
        </w:rPr>
        <w:lastRenderedPageBreak/>
        <w:t xml:space="preserve">La succursale consacre 90 p. 100 de son temps à fournir des services à six silos à grains le long du fleuve Saint-Laurent, au Québec. Ces six silos sont situés à Montréal, Sorel, Trois-Rivières, Québec, Port-Cartier et Baie-Comeau. Le silo à grains de Montréal, exploité par </w:t>
      </w:r>
      <w:proofErr w:type="spellStart"/>
      <w:r w:rsidRPr="00B24801">
        <w:rPr>
          <w:rFonts w:cs="Times New Roman"/>
        </w:rPr>
        <w:t>Viterra</w:t>
      </w:r>
      <w:proofErr w:type="spellEnd"/>
      <w:r w:rsidRPr="00B24801">
        <w:rPr>
          <w:rFonts w:cs="Times New Roman"/>
        </w:rPr>
        <w:t>, est le client le plus important de la succursale.</w:t>
      </w:r>
    </w:p>
    <w:p w14:paraId="58DAE80C" w14:textId="77777777" w:rsidR="00B751E6" w:rsidRPr="00B24801" w:rsidRDefault="00B751E6" w:rsidP="00B751E6">
      <w:pPr>
        <w:pStyle w:val="ParaNoNdepar-AltN"/>
        <w:tabs>
          <w:tab w:val="clear" w:pos="1152"/>
          <w:tab w:val="left" w:pos="1166"/>
        </w:tabs>
        <w:rPr>
          <w:rFonts w:cs="Times New Roman"/>
        </w:rPr>
      </w:pPr>
      <w:r w:rsidRPr="00B24801">
        <w:rPr>
          <w:rFonts w:cs="Times New Roman"/>
        </w:rPr>
        <w:t xml:space="preserve">En raison de la nature de leur travail, les inspecteurs et agents de classement de la succursale de Montréal travaillent rarement dans les installations de SGS. Ils effectuent l’essentiel de leur travail aux silos à grains, que ce soit dans des laboratoires mobiles ou des laboratoires situés dans les installations de leurs clients. Ils y analysent entre 20 et 30 échantillons par jour tout au long du processus de chargement des navires, et communiquent régulièrement avec leurs clients qui exploitent les silos à grains pour faciliter les analyses et fournir des mises à jour. Dans l’exécution de ce travail, SGS ne possède elle-même aucune installation pour l’entreposage ou le transport du grain. </w:t>
      </w:r>
    </w:p>
    <w:p w14:paraId="6104F072" w14:textId="77777777" w:rsidR="00B751E6" w:rsidRPr="00B24801" w:rsidRDefault="00B751E6" w:rsidP="00B751E6">
      <w:pPr>
        <w:pStyle w:val="ParaNoNdepar-AltN"/>
        <w:tabs>
          <w:tab w:val="clear" w:pos="1152"/>
          <w:tab w:val="left" w:pos="1166"/>
        </w:tabs>
        <w:rPr>
          <w:rFonts w:cs="Times New Roman"/>
        </w:rPr>
      </w:pPr>
      <w:r w:rsidRPr="00B24801">
        <w:rPr>
          <w:rFonts w:cs="Times New Roman"/>
        </w:rPr>
        <w:t xml:space="preserve">Le 10 p. 100 du temps qui reste à la succursale est consacré à fournir des services à des sociétés comme Ray-Mont Logistique, qui facilitent le commerce international en améliorant la chaîne d’approvisionnement des conteneurs. À l’audience devant notre Cour, les avocats de SGS ont expliqué que ce travail est effectué principalement à la demande de </w:t>
      </w:r>
      <w:proofErr w:type="spellStart"/>
      <w:r w:rsidRPr="00B24801">
        <w:rPr>
          <w:rFonts w:cs="Times New Roman"/>
        </w:rPr>
        <w:t>Viterra</w:t>
      </w:r>
      <w:proofErr w:type="spellEnd"/>
      <w:r w:rsidRPr="00B24801">
        <w:rPr>
          <w:rFonts w:cs="Times New Roman"/>
        </w:rPr>
        <w:t xml:space="preserve">. </w:t>
      </w:r>
    </w:p>
    <w:p w14:paraId="15892853" w14:textId="77777777" w:rsidR="00B751E6" w:rsidRPr="00B24801" w:rsidRDefault="00B751E6" w:rsidP="00B751E6">
      <w:pPr>
        <w:pStyle w:val="Title1LevelTitre1Niveau-AltL"/>
        <w:numPr>
          <w:ilvl w:val="0"/>
          <w:numId w:val="11"/>
        </w:numPr>
        <w:rPr>
          <w:rFonts w:cs="Times New Roman"/>
        </w:rPr>
      </w:pPr>
      <w:r w:rsidRPr="00B24801">
        <w:rPr>
          <w:rFonts w:cs="Times New Roman"/>
        </w:rPr>
        <w:t>Décisions des juridictions inférieures</w:t>
      </w:r>
    </w:p>
    <w:p w14:paraId="49DCA2A3" w14:textId="77777777" w:rsidR="00B751E6" w:rsidRPr="00B24801" w:rsidRDefault="00B751E6" w:rsidP="00B751E6">
      <w:pPr>
        <w:pStyle w:val="Title2LevelTitre2Niveau"/>
        <w:numPr>
          <w:ilvl w:val="1"/>
          <w:numId w:val="11"/>
        </w:numPr>
        <w:rPr>
          <w:rFonts w:cs="Times New Roman"/>
        </w:rPr>
      </w:pPr>
      <w:r w:rsidRPr="00B24801">
        <w:rPr>
          <w:rFonts w:cs="Times New Roman"/>
        </w:rPr>
        <w:t>Décision du Tribunal, 2021 QCTAT 1021 (juge administratif Paquette)</w:t>
      </w:r>
    </w:p>
    <w:p w14:paraId="305820AE" w14:textId="77777777" w:rsidR="00B751E6" w:rsidRPr="00B24801" w:rsidRDefault="00B751E6" w:rsidP="00B751E6">
      <w:pPr>
        <w:pStyle w:val="ParaNoNdepar-AltN"/>
        <w:rPr>
          <w:rFonts w:cs="Times New Roman"/>
        </w:rPr>
      </w:pPr>
      <w:r w:rsidRPr="00B24801">
        <w:rPr>
          <w:rFonts w:cs="Times New Roman"/>
        </w:rPr>
        <w:lastRenderedPageBreak/>
        <w:t xml:space="preserve">Le Syndicat des travailleuses et travailleurs des industries manufacturières – CSN (« Syndicat ») a déposé auprès du Tribunal administratif du travail une requête en accréditation au titre du </w:t>
      </w:r>
      <w:r w:rsidRPr="00B24801">
        <w:rPr>
          <w:rFonts w:cs="Times New Roman"/>
          <w:i/>
        </w:rPr>
        <w:t>Code du travail</w:t>
      </w:r>
      <w:r w:rsidRPr="00B24801">
        <w:rPr>
          <w:rFonts w:cs="Times New Roman"/>
        </w:rPr>
        <w:t xml:space="preserve"> du Québec. Le Syndicat cherchait à représenter les inspecteurs et agents de classement de la succursale de Montréal. </w:t>
      </w:r>
    </w:p>
    <w:p w14:paraId="3FEA8868" w14:textId="77777777" w:rsidR="00B751E6" w:rsidRPr="00B24801" w:rsidRDefault="00B751E6" w:rsidP="00B751E6">
      <w:pPr>
        <w:pStyle w:val="ParaNoNdepar-AltN"/>
        <w:rPr>
          <w:rFonts w:cs="Times New Roman"/>
        </w:rPr>
      </w:pPr>
      <w:r w:rsidRPr="00B24801">
        <w:rPr>
          <w:rFonts w:cs="Times New Roman"/>
        </w:rPr>
        <w:t xml:space="preserve">Le Tribunal a rejeté la requête en accréditation présentée par le Syndicat. Il a jugé que les relations de travail de la succursale de Montréal ne relevaient pas de la compétence provinciale. Comme SGS n’exploitait elle-même aucun des silos, il n’y avait pas de compétence fédérale directe. Les relations de travail de la succursale de Montréal étaient plutôt assujetties à la compétence fédérale dérivée. Le Tribunal a conclu que SGS avait établi, selon la prépondérance des probabilités, que la Division était fonctionnellement séparée du reste de ses opérations. Il a également conclu que les opérations de la Division au Québec faisaient partie intégrante des six silos à grains le long du fleuve Saint-Laurent, lesquels étaient tous des ouvrages fédéraux. </w:t>
      </w:r>
    </w:p>
    <w:p w14:paraId="237FC56A" w14:textId="77777777" w:rsidR="00B751E6" w:rsidRPr="00B24801" w:rsidRDefault="00B751E6" w:rsidP="00B751E6">
      <w:pPr>
        <w:pStyle w:val="Title2LevelTitre2Niveau"/>
        <w:numPr>
          <w:ilvl w:val="1"/>
          <w:numId w:val="11"/>
        </w:numPr>
        <w:rPr>
          <w:rFonts w:cs="Times New Roman"/>
        </w:rPr>
      </w:pPr>
      <w:r w:rsidRPr="00B24801">
        <w:rPr>
          <w:rFonts w:cs="Times New Roman"/>
        </w:rPr>
        <w:t>Décision de la Cour supérieure, 2023 QCCS 1186 (le juge Dufour)</w:t>
      </w:r>
    </w:p>
    <w:p w14:paraId="77C53FDB" w14:textId="77777777" w:rsidR="00B751E6" w:rsidRPr="00B24801" w:rsidRDefault="00B751E6" w:rsidP="00B751E6">
      <w:pPr>
        <w:pStyle w:val="ParaNoNdepar-AltN"/>
        <w:rPr>
          <w:rFonts w:cs="Times New Roman"/>
        </w:rPr>
      </w:pPr>
      <w:r w:rsidRPr="00B24801">
        <w:rPr>
          <w:rFonts w:cs="Times New Roman"/>
        </w:rPr>
        <w:t>La demande de contrôle judiciaire a été rejetée. Le juge saisi de la demande a conclu que les relations de travail de la succursale de Montréal relevaient de la compétence dérivée. Selon lui, les conclusions du Tribunal sur les fonctions et les opérations uniques de la Division au Québec étaient suffisantes pour conclure que la succursale était fonctionnellement distincte du reste de SGS.</w:t>
      </w:r>
    </w:p>
    <w:p w14:paraId="652FB848" w14:textId="77777777" w:rsidR="00B751E6" w:rsidRPr="00B24801" w:rsidRDefault="00B751E6" w:rsidP="00B751E6">
      <w:pPr>
        <w:pStyle w:val="ParaNoNdepar-AltN"/>
        <w:rPr>
          <w:rFonts w:cs="Times New Roman"/>
        </w:rPr>
      </w:pPr>
      <w:r w:rsidRPr="00B24801">
        <w:rPr>
          <w:rFonts w:cs="Times New Roman"/>
        </w:rPr>
        <w:lastRenderedPageBreak/>
        <w:t>Le juge saisi de la demande a conclu que le Tribunal avait commis une erreur en n’identifiant pas une seule entreprise fédérale sur laquelle serait centré le critère relatif à la compétence dérivée.</w:t>
      </w:r>
      <w:r w:rsidRPr="00B24801">
        <w:rPr>
          <w:rFonts w:cs="Times New Roman"/>
          <w:i/>
        </w:rPr>
        <w:t xml:space="preserve"> </w:t>
      </w:r>
      <w:r w:rsidRPr="00B24801">
        <w:rPr>
          <w:rFonts w:cs="Times New Roman"/>
        </w:rPr>
        <w:t xml:space="preserve">Cette erreur n’était cependant pas fatale. Bien que, dans son analyse visant à déterminer si les employés étaient intégrés à une entreprise fédérale, le Tribunal ait mis l’accent sur l’ensemble des six silos à grains le long du fleuve Saint-Laurent, il a quand même tiré des conclusions sur l’importance de l’intégration de la succursale de Montréal au silo à grains de </w:t>
      </w:r>
      <w:proofErr w:type="spellStart"/>
      <w:r w:rsidRPr="00B24801">
        <w:rPr>
          <w:rFonts w:cs="Times New Roman"/>
        </w:rPr>
        <w:t>Viterra</w:t>
      </w:r>
      <w:proofErr w:type="spellEnd"/>
      <w:r w:rsidRPr="00B24801">
        <w:rPr>
          <w:rFonts w:cs="Times New Roman"/>
        </w:rPr>
        <w:t xml:space="preserve">. </w:t>
      </w:r>
    </w:p>
    <w:p w14:paraId="72BD8895" w14:textId="77777777" w:rsidR="00B751E6" w:rsidRPr="00B24801" w:rsidRDefault="00B751E6" w:rsidP="00B751E6">
      <w:pPr>
        <w:pStyle w:val="Title2LevelTitre2Niveau"/>
        <w:numPr>
          <w:ilvl w:val="1"/>
          <w:numId w:val="11"/>
        </w:numPr>
        <w:rPr>
          <w:rFonts w:cs="Times New Roman"/>
        </w:rPr>
      </w:pPr>
      <w:r w:rsidRPr="00B24801">
        <w:rPr>
          <w:rFonts w:cs="Times New Roman"/>
        </w:rPr>
        <w:t>Décision de la Cour d’appel, 2024 QCCA 460 (les juges Schrager, Mainville et Hamilton)</w:t>
      </w:r>
    </w:p>
    <w:p w14:paraId="6C2DA194" w14:textId="77777777" w:rsidR="00B751E6" w:rsidRPr="00B24801" w:rsidRDefault="00B751E6" w:rsidP="00B751E6">
      <w:pPr>
        <w:pStyle w:val="ParaNoNdepar-AltN"/>
        <w:rPr>
          <w:rFonts w:cs="Times New Roman"/>
        </w:rPr>
      </w:pPr>
      <w:r w:rsidRPr="00B24801">
        <w:rPr>
          <w:rFonts w:cs="Times New Roman"/>
        </w:rPr>
        <w:t xml:space="preserve">La Cour d’appel a rejeté l’appel. Elle a confirmé la décision de la Cour supérieure portant que les relations de travail de la succursale de Montréal devraient être assujetties à la réglementation fédérale. La cour n’a décelé aucune erreur dans l’analyse du Tribunal sur la nature essentielle de la succursale de Montréal, et a confirmé que celle-ci pouvait être considérée séparément de SGS. Contrairement à la Cour supérieure, la Cour d’appel a conclu que le critère relatif à la compétence directe était respecté. Selon elle, il en était ainsi parce que les services de la succursale faisaient partie intégrante de ses clients qui exploitent des silos à grains — par exemple, ils ne pouvaient pas fonctionner si les employés de la succursale déclenchaient une grève. Subsidiairement, la Cour d’appel, tout comme le juge saisi de la demande, estimait que la succursale relevait de la compétence dérivée. Selon elle, la preuve étayait la conclusion selon laquelle la succursale de Montréal était intégrée à </w:t>
      </w:r>
      <w:proofErr w:type="spellStart"/>
      <w:r w:rsidRPr="00B24801">
        <w:rPr>
          <w:rFonts w:cs="Times New Roman"/>
        </w:rPr>
        <w:t>Viterra</w:t>
      </w:r>
      <w:proofErr w:type="spellEnd"/>
      <w:r w:rsidRPr="00B24801">
        <w:rPr>
          <w:rFonts w:cs="Times New Roman"/>
        </w:rPr>
        <w:t>.</w:t>
      </w:r>
    </w:p>
    <w:p w14:paraId="2D9CA8DF" w14:textId="77777777" w:rsidR="00B751E6" w:rsidRPr="00B24801" w:rsidRDefault="00B751E6" w:rsidP="00B751E6">
      <w:pPr>
        <w:pStyle w:val="Title1LevelTitre1Niveau-AltL"/>
        <w:rPr>
          <w:rFonts w:cs="Times New Roman"/>
        </w:rPr>
      </w:pPr>
      <w:r w:rsidRPr="00B24801">
        <w:rPr>
          <w:rFonts w:cs="Times New Roman"/>
        </w:rPr>
        <w:lastRenderedPageBreak/>
        <w:t>Analyse</w:t>
      </w:r>
    </w:p>
    <w:p w14:paraId="6E074176" w14:textId="77777777" w:rsidR="00B751E6" w:rsidRPr="00B24801" w:rsidRDefault="00B751E6" w:rsidP="00B751E6">
      <w:pPr>
        <w:pStyle w:val="ParaNoNdepar-AltN"/>
        <w:rPr>
          <w:rFonts w:cs="Times New Roman"/>
        </w:rPr>
      </w:pPr>
      <w:r w:rsidRPr="00B24801">
        <w:rPr>
          <w:rFonts w:cs="Times New Roman"/>
        </w:rPr>
        <w:t xml:space="preserve">Le procureur général du Québec (« PGQ ») fait valoir que le Tribunal et les instances inférieures ont tous commis une erreur en concluant que la succursale de Montréal relevait de la compétence fédérale. Comme les employés de la succursale n’étaient pas à l’emploi d’une entité exploitant directement l’un des silos, la succursale ne pouvait pas relever de la compétence directe. La compétence dérivée n’était pas non plus possible. Selon le PGQ, les instances inférieures se sont appuyées sur une preuve insuffisante pour établir que la succursale était une unité fonctionnellement distincte du reste de la société. Cette erreur était déterminante, parce que SGS ne pouvait pas prouver que toute la société, ou la Division au complet, était intégrée à </w:t>
      </w:r>
      <w:proofErr w:type="spellStart"/>
      <w:r w:rsidRPr="00B24801">
        <w:rPr>
          <w:rFonts w:cs="Times New Roman"/>
        </w:rPr>
        <w:t>Viterra</w:t>
      </w:r>
      <w:proofErr w:type="spellEnd"/>
      <w:r w:rsidRPr="00B24801">
        <w:rPr>
          <w:rFonts w:cs="Times New Roman"/>
        </w:rPr>
        <w:t>.</w:t>
      </w:r>
    </w:p>
    <w:p w14:paraId="27672C87" w14:textId="77777777" w:rsidR="00B751E6" w:rsidRPr="00B24801" w:rsidRDefault="00B751E6" w:rsidP="00B751E6">
      <w:pPr>
        <w:pStyle w:val="ParaNoNdepar-AltN"/>
        <w:rPr>
          <w:rFonts w:cs="Times New Roman"/>
        </w:rPr>
      </w:pPr>
      <w:r w:rsidRPr="00B24801">
        <w:rPr>
          <w:rFonts w:cs="Times New Roman"/>
        </w:rPr>
        <w:t xml:space="preserve">SGS soutient que les instances inférieures n’ont pas commis d’erreur en s’appuyant sur les conclusions du Tribunal pour juger que la succursale de Montréal était fonctionnellement distincte du reste de SGS. Les six silos à grains au Québec, y compris </w:t>
      </w:r>
      <w:proofErr w:type="spellStart"/>
      <w:r w:rsidRPr="00B24801">
        <w:rPr>
          <w:rFonts w:cs="Times New Roman"/>
        </w:rPr>
        <w:t>Viterra</w:t>
      </w:r>
      <w:proofErr w:type="spellEnd"/>
      <w:r w:rsidRPr="00B24801">
        <w:rPr>
          <w:rFonts w:cs="Times New Roman"/>
        </w:rPr>
        <w:t>, reçoivent des services d’inspection de SGS de façon continue et constante et s’y fient. Selon SGS, les compétences fédérales directe et dérivée peuvent toutes deux s’appliquer aux employés de la succursale, parce que ceux-ci fournissent directement des services à un ouvrage déclaré et font partie intégrante de ses opérations.</w:t>
      </w:r>
    </w:p>
    <w:p w14:paraId="3C23F6CF" w14:textId="77777777" w:rsidR="00B751E6" w:rsidRPr="00B24801" w:rsidRDefault="00B751E6" w:rsidP="00B751E6">
      <w:pPr>
        <w:pStyle w:val="ParaNoNdepar-AltN"/>
        <w:rPr>
          <w:rFonts w:cs="Times New Roman"/>
        </w:rPr>
      </w:pPr>
      <w:r w:rsidRPr="00B24801">
        <w:rPr>
          <w:rFonts w:cs="Times New Roman"/>
        </w:rPr>
        <w:t xml:space="preserve">Les questions en litige dans le présent pourvoi sont donc les suivantes : </w:t>
      </w:r>
    </w:p>
    <w:p w14:paraId="4AC02CC7" w14:textId="77777777" w:rsidR="00B751E6" w:rsidRPr="00B24801" w:rsidRDefault="00B751E6" w:rsidP="00B751E6">
      <w:pPr>
        <w:pStyle w:val="Citation-AltC"/>
        <w:numPr>
          <w:ilvl w:val="0"/>
          <w:numId w:val="8"/>
        </w:numPr>
        <w:spacing w:after="480" w:line="480" w:lineRule="auto"/>
        <w:ind w:left="1525" w:hanging="357"/>
        <w:contextualSpacing w:val="0"/>
      </w:pPr>
      <w:r w:rsidRPr="00B24801">
        <w:t xml:space="preserve">La succursale de Montréal est-elle une unité fonctionnellement distincte? </w:t>
      </w:r>
    </w:p>
    <w:p w14:paraId="4982B65E" w14:textId="77777777" w:rsidR="00B751E6" w:rsidRPr="00B24801" w:rsidRDefault="00B751E6" w:rsidP="00B751E6">
      <w:pPr>
        <w:pStyle w:val="Citation-AltC"/>
        <w:numPr>
          <w:ilvl w:val="0"/>
          <w:numId w:val="8"/>
        </w:numPr>
        <w:spacing w:after="480" w:line="480" w:lineRule="auto"/>
        <w:ind w:left="1525" w:hanging="357"/>
        <w:contextualSpacing w:val="0"/>
      </w:pPr>
      <w:r w:rsidRPr="00B24801">
        <w:lastRenderedPageBreak/>
        <w:t>La succursale de Montréal relève-t-elle de la compétence fédérale directe?</w:t>
      </w:r>
    </w:p>
    <w:p w14:paraId="369B1974" w14:textId="77777777" w:rsidR="00B751E6" w:rsidRPr="00B24801" w:rsidRDefault="00B751E6" w:rsidP="00B751E6">
      <w:pPr>
        <w:pStyle w:val="Citation-AltC"/>
        <w:numPr>
          <w:ilvl w:val="0"/>
          <w:numId w:val="8"/>
        </w:numPr>
        <w:spacing w:line="480" w:lineRule="auto"/>
      </w:pPr>
      <w:r w:rsidRPr="00B24801">
        <w:t>La succursale de Montréal relève-t-elle de la compétence fédérale dérivée?</w:t>
      </w:r>
    </w:p>
    <w:p w14:paraId="772C40CB" w14:textId="77777777" w:rsidR="00B751E6" w:rsidRPr="00B24801" w:rsidRDefault="00B751E6" w:rsidP="00B751E6">
      <w:pPr>
        <w:pStyle w:val="Title2LevelTitre2Niveau"/>
        <w:rPr>
          <w:rFonts w:cs="Times New Roman"/>
        </w:rPr>
      </w:pPr>
      <w:r w:rsidRPr="00B24801">
        <w:rPr>
          <w:rFonts w:cs="Times New Roman"/>
        </w:rPr>
        <w:t xml:space="preserve">Norme de contrôle </w:t>
      </w:r>
    </w:p>
    <w:p w14:paraId="77BE9AC9" w14:textId="77777777" w:rsidR="00B751E6" w:rsidRPr="00B24801" w:rsidRDefault="00B751E6" w:rsidP="00B751E6">
      <w:pPr>
        <w:pStyle w:val="ParaNoNdepar-AltN"/>
        <w:rPr>
          <w:rFonts w:cs="Times New Roman"/>
        </w:rPr>
      </w:pPr>
      <w:r w:rsidRPr="00B24801">
        <w:rPr>
          <w:rFonts w:cs="Times New Roman"/>
        </w:rPr>
        <w:t>Lors du contrôle judiciaire de la décision d’un tribunal, la cour doit appliquer la norme de la décision correcte aux questions constitutionnelles relatives au partage des compétences (</w:t>
      </w:r>
      <w:r w:rsidRPr="00B24801">
        <w:rPr>
          <w:rFonts w:cs="Times New Roman"/>
          <w:i/>
        </w:rPr>
        <w:t>Canada (Ministre de la Citoyenneté et de l’Immigration) c. Vavilov</w:t>
      </w:r>
      <w:r w:rsidRPr="00B24801">
        <w:rPr>
          <w:rFonts w:cs="Times New Roman"/>
        </w:rPr>
        <w:t>, 2019 CSC 65, [2019] 4 R.C.S. 653, par. 55). Bien qu’il convienne de faire preuve d’une grande déférence à l’égard de conclusions purement factuelles, les inférences tirées de constatations factuelles et appliquées aux critères constitutionnels sont aussi susceptibles de contrôle selon la norme de la décision correcte (</w:t>
      </w:r>
      <w:r w:rsidRPr="00B24801">
        <w:rPr>
          <w:rFonts w:cs="Times New Roman"/>
          <w:i/>
        </w:rPr>
        <w:t xml:space="preserve">Société des casinos du Québec </w:t>
      </w:r>
      <w:proofErr w:type="spellStart"/>
      <w:r w:rsidRPr="00B24801">
        <w:rPr>
          <w:rFonts w:cs="Times New Roman"/>
          <w:i/>
        </w:rPr>
        <w:t>inc.</w:t>
      </w:r>
      <w:proofErr w:type="spellEnd"/>
      <w:r w:rsidRPr="00B24801">
        <w:rPr>
          <w:rFonts w:cs="Times New Roman"/>
          <w:i/>
        </w:rPr>
        <w:t xml:space="preserve"> c. Association des cadres de la Société des casinos du Québec</w:t>
      </w:r>
      <w:r w:rsidRPr="00B24801">
        <w:rPr>
          <w:rFonts w:cs="Times New Roman"/>
        </w:rPr>
        <w:t xml:space="preserve">, 2024 CSC 13, par. 45 et 94-97; </w:t>
      </w:r>
      <w:r w:rsidRPr="00B24801">
        <w:rPr>
          <w:rFonts w:cs="Times New Roman"/>
          <w:i/>
        </w:rPr>
        <w:t>Canada (Directeur des enquêtes et recherches) c. Southam Inc.</w:t>
      </w:r>
      <w:r w:rsidRPr="00B24801">
        <w:rPr>
          <w:rFonts w:cs="Times New Roman"/>
        </w:rPr>
        <w:t>,</w:t>
      </w:r>
      <w:r w:rsidRPr="00B24801">
        <w:rPr>
          <w:rFonts w:cs="Times New Roman"/>
          <w:i/>
        </w:rPr>
        <w:t xml:space="preserve"> </w:t>
      </w:r>
      <w:r w:rsidRPr="00B24801">
        <w:rPr>
          <w:rFonts w:cs="Times New Roman"/>
        </w:rPr>
        <w:t>[1997] 1 R.C.S. 748, par. 35). Par conséquent, la question de savoir si la succursale peut être considérée comme étant une unité fonctionnellement distincte au sein de la Division et celle de savoir si la succursale relève de la compétence fédérale directe ou dérivée sont susceptibles de contrôle selon la norme de la décision correcte.</w:t>
      </w:r>
    </w:p>
    <w:p w14:paraId="664518B6" w14:textId="77777777" w:rsidR="00B751E6" w:rsidRPr="00B24801" w:rsidRDefault="00B751E6" w:rsidP="00B751E6">
      <w:pPr>
        <w:pStyle w:val="Title2LevelTitre2Niveau"/>
        <w:rPr>
          <w:rFonts w:cs="Times New Roman"/>
        </w:rPr>
      </w:pPr>
      <w:bookmarkStart w:id="17" w:name="_Hlk227923261"/>
      <w:r w:rsidRPr="00B24801">
        <w:rPr>
          <w:rFonts w:cs="Times New Roman"/>
        </w:rPr>
        <w:t>Relations de travail et partage des compétences</w:t>
      </w:r>
    </w:p>
    <w:p w14:paraId="03D1FC86" w14:textId="77777777" w:rsidR="00B751E6" w:rsidRPr="00B24801" w:rsidRDefault="00B751E6" w:rsidP="00B751E6">
      <w:pPr>
        <w:pStyle w:val="Title3LevelTitre3Niveau"/>
        <w:rPr>
          <w:rFonts w:cs="Times New Roman"/>
        </w:rPr>
      </w:pPr>
      <w:r w:rsidRPr="00B24801">
        <w:rPr>
          <w:rFonts w:cs="Times New Roman"/>
        </w:rPr>
        <w:lastRenderedPageBreak/>
        <w:t>Le travail est présumé être une matière de compétence provinciale</w:t>
      </w:r>
      <w:bookmarkStart w:id="18" w:name="_Hlk227923119"/>
      <w:bookmarkEnd w:id="17"/>
    </w:p>
    <w:p w14:paraId="29D16491" w14:textId="77777777" w:rsidR="00B751E6" w:rsidRPr="00B24801" w:rsidRDefault="00B751E6" w:rsidP="00B751E6">
      <w:pPr>
        <w:pStyle w:val="ParaNoNdepar-AltN"/>
        <w:rPr>
          <w:rFonts w:cs="Times New Roman"/>
        </w:rPr>
      </w:pPr>
      <w:r w:rsidRPr="00B24801">
        <w:rPr>
          <w:rFonts w:cs="Times New Roman"/>
        </w:rPr>
        <w:t xml:space="preserve">Selon la </w:t>
      </w:r>
      <w:r w:rsidRPr="00B24801">
        <w:rPr>
          <w:rFonts w:cs="Times New Roman"/>
          <w:i/>
          <w:iCs/>
        </w:rPr>
        <w:t>Loi constitutionnelle de 1867</w:t>
      </w:r>
      <w:r w:rsidRPr="00B24801">
        <w:rPr>
          <w:rFonts w:cs="Times New Roman"/>
        </w:rPr>
        <w:t xml:space="preserve">, les relations de travail sont présumées être une matière de compétence provinciale. Bien que les art. 91 et 92 n’attribuent pas expressément une compétence législative sur les relations de travail à l’un ou l’autre des ordres de gouvernement, la jurisprudence de notre Cour considère depuis longtemps que les relations de travail relèvent généralement de la compétence provinciale sur la propriété et les droits civils prévue au </w:t>
      </w:r>
      <w:proofErr w:type="spellStart"/>
      <w:r w:rsidRPr="00B24801">
        <w:rPr>
          <w:rFonts w:cs="Times New Roman"/>
        </w:rPr>
        <w:t>par</w:t>
      </w:r>
      <w:proofErr w:type="spellEnd"/>
      <w:r w:rsidRPr="00B24801">
        <w:rPr>
          <w:rFonts w:cs="Times New Roman"/>
        </w:rPr>
        <w:t>. 92(13) (</w:t>
      </w:r>
      <w:r w:rsidRPr="00B24801">
        <w:rPr>
          <w:rFonts w:cs="Times New Roman"/>
          <w:i/>
        </w:rPr>
        <w:t>Tessier</w:t>
      </w:r>
      <w:r w:rsidRPr="00B24801">
        <w:rPr>
          <w:rFonts w:cs="Times New Roman"/>
        </w:rPr>
        <w:t>, par. 11).</w:t>
      </w:r>
    </w:p>
    <w:p w14:paraId="610BD7E1" w14:textId="77777777" w:rsidR="00B751E6" w:rsidRPr="00B24801" w:rsidRDefault="00B751E6" w:rsidP="00B751E6">
      <w:pPr>
        <w:pStyle w:val="ParaNoNdepar-AltN"/>
        <w:rPr>
          <w:rFonts w:cs="Times New Roman"/>
        </w:rPr>
      </w:pPr>
      <w:r w:rsidRPr="00B24801">
        <w:rPr>
          <w:rFonts w:cs="Times New Roman"/>
        </w:rPr>
        <w:t>Cette présomption ne peut être réfutée qu’exceptionnellement (</w:t>
      </w:r>
      <w:r w:rsidRPr="00B24801">
        <w:rPr>
          <w:rFonts w:cs="Times New Roman"/>
          <w:i/>
        </w:rPr>
        <w:t xml:space="preserve">NIL/TU,O Child and Family Services Society c. B.C. </w:t>
      </w:r>
      <w:proofErr w:type="spellStart"/>
      <w:r w:rsidRPr="00B24801">
        <w:rPr>
          <w:rFonts w:cs="Times New Roman"/>
          <w:i/>
        </w:rPr>
        <w:t>Government</w:t>
      </w:r>
      <w:proofErr w:type="spellEnd"/>
      <w:r w:rsidRPr="00B24801">
        <w:rPr>
          <w:rFonts w:cs="Times New Roman"/>
          <w:i/>
        </w:rPr>
        <w:t xml:space="preserve"> and Service </w:t>
      </w:r>
      <w:proofErr w:type="spellStart"/>
      <w:r w:rsidRPr="00B24801">
        <w:rPr>
          <w:rFonts w:cs="Times New Roman"/>
          <w:i/>
        </w:rPr>
        <w:t>Employees</w:t>
      </w:r>
      <w:proofErr w:type="spellEnd"/>
      <w:r w:rsidRPr="00B24801">
        <w:rPr>
          <w:rFonts w:cs="Times New Roman"/>
          <w:i/>
        </w:rPr>
        <w:t>’ Union</w:t>
      </w:r>
      <w:r w:rsidRPr="00B24801">
        <w:rPr>
          <w:rFonts w:cs="Times New Roman"/>
        </w:rPr>
        <w:t>, 2010 CSC 45, [2010] 2 R.C.S. 696, par. 11). Selon la doctrine de l’exclusivité des compétences, le Parlement peut avoir compétence sur les relations de travail associées à ses ouvrages et ses entreprises de nature fédérale. Étant donné que la réglementation des relations de travail a été jugée être un aspect essentiel de la compétence principale du Parlement sur les ouvrages ou les entreprises de nature fédérale, les lois provinciales du travail sont constitutionnellement inapplicables à ceux-ci (</w:t>
      </w:r>
      <w:r w:rsidRPr="00B24801">
        <w:rPr>
          <w:rFonts w:cs="Times New Roman"/>
          <w:i/>
          <w:iCs/>
        </w:rPr>
        <w:t xml:space="preserve">Commission du salaire minimum c. Bell </w:t>
      </w:r>
      <w:proofErr w:type="spellStart"/>
      <w:r w:rsidRPr="00B24801">
        <w:rPr>
          <w:rFonts w:cs="Times New Roman"/>
          <w:i/>
          <w:iCs/>
        </w:rPr>
        <w:t>Telephone</w:t>
      </w:r>
      <w:proofErr w:type="spellEnd"/>
      <w:r w:rsidRPr="00B24801">
        <w:rPr>
          <w:rFonts w:cs="Times New Roman"/>
          <w:i/>
          <w:iCs/>
        </w:rPr>
        <w:t xml:space="preserve"> Co. of Canada</w:t>
      </w:r>
      <w:r w:rsidRPr="00B24801">
        <w:rPr>
          <w:rFonts w:cs="Times New Roman"/>
        </w:rPr>
        <w:t xml:space="preserve">, [1966] R.C.S. 767, p. 772; </w:t>
      </w:r>
      <w:r w:rsidRPr="00B24801">
        <w:rPr>
          <w:rFonts w:cs="Times New Roman"/>
          <w:i/>
          <w:iCs/>
        </w:rPr>
        <w:t>Bell Canada c. Québec (Commission de la santé et de la sécurité du travail)</w:t>
      </w:r>
      <w:r w:rsidRPr="00B24801">
        <w:rPr>
          <w:rFonts w:cs="Times New Roman"/>
        </w:rPr>
        <w:t>, [1988] 1 R.C.S. 749 (« </w:t>
      </w:r>
      <w:r w:rsidRPr="00B24801">
        <w:rPr>
          <w:rFonts w:cs="Times New Roman"/>
          <w:i/>
          <w:iCs/>
        </w:rPr>
        <w:t>Bell Canada 1988 »</w:t>
      </w:r>
      <w:r w:rsidRPr="00B24801">
        <w:rPr>
          <w:rFonts w:cs="Times New Roman"/>
        </w:rPr>
        <w:t>), p. 762).</w:t>
      </w:r>
    </w:p>
    <w:p w14:paraId="1E65BE56" w14:textId="77777777" w:rsidR="00B751E6" w:rsidRPr="00B24801" w:rsidRDefault="00B751E6" w:rsidP="00B751E6">
      <w:pPr>
        <w:pStyle w:val="ParaNoNdepar-AltN"/>
        <w:rPr>
          <w:rFonts w:eastAsia="MS Mincho" w:cs="Times New Roman"/>
        </w:rPr>
      </w:pPr>
      <w:r w:rsidRPr="00B24801">
        <w:rPr>
          <w:rFonts w:cs="Times New Roman"/>
        </w:rPr>
        <w:t xml:space="preserve">La raison pour laquelle la compétence analogue sur les relations de travail est conférée au gouvernement fédéral lorsqu’il jouit du pouvoir exclusif de réglementer un ouvrage ou une entreprise est la nécessité d’assurer la stabilité de ses opérations </w:t>
      </w:r>
      <w:r w:rsidRPr="00B24801">
        <w:rPr>
          <w:rFonts w:cs="Times New Roman"/>
        </w:rPr>
        <w:lastRenderedPageBreak/>
        <w:t>(</w:t>
      </w:r>
      <w:r w:rsidRPr="00B24801">
        <w:rPr>
          <w:rFonts w:cs="Times New Roman"/>
          <w:i/>
        </w:rPr>
        <w:t>Tessier</w:t>
      </w:r>
      <w:r w:rsidRPr="00B24801">
        <w:rPr>
          <w:rFonts w:cs="Times New Roman"/>
        </w:rPr>
        <w:t>,</w:t>
      </w:r>
      <w:r w:rsidRPr="00B24801">
        <w:rPr>
          <w:rFonts w:cs="Times New Roman"/>
          <w:i/>
        </w:rPr>
        <w:t xml:space="preserve"> </w:t>
      </w:r>
      <w:r w:rsidRPr="00B24801">
        <w:rPr>
          <w:rFonts w:cs="Times New Roman"/>
        </w:rPr>
        <w:t>par. 15). C’est pourquoi notre Cour a reconnu que la compétence fédérale sur [</w:t>
      </w:r>
      <w:r w:rsidRPr="00B24801">
        <w:rPr>
          <w:rFonts w:cs="Times New Roman"/>
          <w:smallCaps/>
        </w:rPr>
        <w:t>traduction</w:t>
      </w:r>
      <w:r w:rsidRPr="00B24801">
        <w:rPr>
          <w:rFonts w:cs="Times New Roman"/>
        </w:rPr>
        <w:t>] « la durée du travail, les taux de salaire [et les autres] conditions de travail » constitue « une partie essentielle de l’administration et de l’exploitation de toute entreprise commerciale ou industrielle » (</w:t>
      </w:r>
      <w:r w:rsidRPr="00B24801">
        <w:rPr>
          <w:rFonts w:cs="Times New Roman"/>
          <w:i/>
        </w:rPr>
        <w:t xml:space="preserve">Reference re </w:t>
      </w:r>
      <w:proofErr w:type="spellStart"/>
      <w:r w:rsidRPr="00B24801">
        <w:rPr>
          <w:rFonts w:cs="Times New Roman"/>
          <w:i/>
        </w:rPr>
        <w:t>Industrial</w:t>
      </w:r>
      <w:proofErr w:type="spellEnd"/>
      <w:r w:rsidRPr="00B24801">
        <w:rPr>
          <w:rFonts w:cs="Times New Roman"/>
          <w:i/>
        </w:rPr>
        <w:t xml:space="preserve"> Relations and Disputes Investigation </w:t>
      </w:r>
      <w:proofErr w:type="spellStart"/>
      <w:r w:rsidRPr="00B24801">
        <w:rPr>
          <w:rFonts w:cs="Times New Roman"/>
          <w:i/>
        </w:rPr>
        <w:t>Act</w:t>
      </w:r>
      <w:proofErr w:type="spellEnd"/>
      <w:r w:rsidRPr="00B24801">
        <w:rPr>
          <w:rFonts w:cs="Times New Roman"/>
        </w:rPr>
        <w:t>, [1955] R.C.S. 529 (« </w:t>
      </w:r>
      <w:r w:rsidRPr="00B24801">
        <w:rPr>
          <w:rFonts w:cs="Times New Roman"/>
          <w:i/>
        </w:rPr>
        <w:t>Renvoi relatif aux débardeurs </w:t>
      </w:r>
      <w:r w:rsidRPr="00B24801">
        <w:rPr>
          <w:rFonts w:cs="Times New Roman"/>
        </w:rPr>
        <w:t xml:space="preserve">»), p. 592; voir aussi </w:t>
      </w:r>
      <w:r w:rsidRPr="00B24801">
        <w:rPr>
          <w:rFonts w:cs="Times New Roman"/>
          <w:i/>
        </w:rPr>
        <w:t>Bell Canada 1988</w:t>
      </w:r>
      <w:r w:rsidRPr="00B24801">
        <w:rPr>
          <w:rFonts w:cs="Times New Roman"/>
        </w:rPr>
        <w:t>,</w:t>
      </w:r>
      <w:r w:rsidRPr="00B24801">
        <w:rPr>
          <w:rFonts w:cs="Times New Roman"/>
          <w:i/>
        </w:rPr>
        <w:t xml:space="preserve"> </w:t>
      </w:r>
      <w:r w:rsidRPr="00B24801">
        <w:rPr>
          <w:rFonts w:cs="Times New Roman"/>
        </w:rPr>
        <w:t>p. 772).</w:t>
      </w:r>
    </w:p>
    <w:p w14:paraId="4043BCCA" w14:textId="77777777" w:rsidR="00B751E6" w:rsidRPr="00B24801" w:rsidRDefault="00B751E6" w:rsidP="00B751E6">
      <w:pPr>
        <w:pStyle w:val="ParaNoNdepar-AltN"/>
        <w:rPr>
          <w:rFonts w:cs="Times New Roman"/>
        </w:rPr>
      </w:pPr>
      <w:r w:rsidRPr="00B24801">
        <w:rPr>
          <w:rFonts w:cs="Times New Roman"/>
        </w:rPr>
        <w:t xml:space="preserve">Le critère fonctionnel précisé dans l’arrêt </w:t>
      </w:r>
      <w:r w:rsidRPr="00B24801">
        <w:rPr>
          <w:rFonts w:cs="Times New Roman"/>
          <w:i/>
        </w:rPr>
        <w:t>Tessier</w:t>
      </w:r>
      <w:r w:rsidRPr="00B24801">
        <w:rPr>
          <w:rFonts w:cs="Times New Roman"/>
        </w:rPr>
        <w:t xml:space="preserve"> met en œuvre la doctrine de l’exclusivité des compétences dans le contexte des relations de travail. Selon ce critère, le Parlement a compétence en matière de relations de travail dans deux circonstances distinctes (par. 17; P. W. Hogg et W. K. Wright, </w:t>
      </w:r>
      <w:proofErr w:type="spellStart"/>
      <w:r w:rsidRPr="00B24801">
        <w:rPr>
          <w:rFonts w:cs="Times New Roman"/>
          <w:i/>
        </w:rPr>
        <w:t>Constitutional</w:t>
      </w:r>
      <w:proofErr w:type="spellEnd"/>
      <w:r w:rsidRPr="00B24801">
        <w:rPr>
          <w:rFonts w:cs="Times New Roman"/>
          <w:i/>
        </w:rPr>
        <w:t xml:space="preserve"> Law of Canada</w:t>
      </w:r>
      <w:r w:rsidRPr="00B24801">
        <w:rPr>
          <w:rFonts w:cs="Times New Roman"/>
        </w:rPr>
        <w:t xml:space="preserve"> (5</w:t>
      </w:r>
      <w:r w:rsidRPr="00B24801">
        <w:rPr>
          <w:rFonts w:cs="Times New Roman"/>
          <w:vertAlign w:val="superscript"/>
        </w:rPr>
        <w:t>e</w:t>
      </w:r>
      <w:r w:rsidRPr="00B24801">
        <w:rPr>
          <w:rFonts w:cs="Times New Roman"/>
        </w:rPr>
        <w:t xml:space="preserve"> éd. suppl.), § 21:11).</w:t>
      </w:r>
      <w:r w:rsidRPr="00B24801">
        <w:rPr>
          <w:rFonts w:cs="Times New Roman"/>
          <w:sz w:val="22"/>
        </w:rPr>
        <w:t xml:space="preserve"> </w:t>
      </w:r>
      <w:r w:rsidRPr="00B24801">
        <w:rPr>
          <w:rFonts w:cs="Times New Roman"/>
        </w:rPr>
        <w:t xml:space="preserve">Premièrement, le Parlement a compétence lorsque l’entité </w:t>
      </w:r>
      <w:r w:rsidRPr="00B24801">
        <w:rPr>
          <w:rFonts w:eastAsia="Calibri" w:cs="Times New Roman"/>
          <w:lang w:bidi="en-US"/>
        </w:rPr>
        <w:t xml:space="preserve">possède, gère, contrôle ou exploite autrement </w:t>
      </w:r>
      <w:r w:rsidRPr="00B24801">
        <w:rPr>
          <w:rFonts w:cs="Times New Roman"/>
        </w:rPr>
        <w:t xml:space="preserve">un ouvrage ou une entreprise de nature fédérale. C’est ce qu’on appelle la compétence directe. Deuxièmement, le Parlement a compétence lorsque l’entité, par l’entremise de ses activités normales et habituelles, fait partie intégrante d’un ou plusieurs ouvrages ou entreprises </w:t>
      </w:r>
      <w:r w:rsidRPr="00B24801">
        <w:rPr>
          <w:rFonts w:cs="Times New Roman"/>
          <w:iCs/>
        </w:rPr>
        <w:t>assujettis à la réglementation fédérale</w:t>
      </w:r>
      <w:r w:rsidRPr="00B24801">
        <w:rPr>
          <w:rFonts w:cs="Times New Roman"/>
        </w:rPr>
        <w:t>, et que ce travail est important pour l’entité elle-même. C’est ce qu’on appelle la compétence dérivée (</w:t>
      </w:r>
      <w:r w:rsidRPr="00B24801">
        <w:rPr>
          <w:rFonts w:cs="Times New Roman"/>
          <w:i/>
        </w:rPr>
        <w:t>Tessier</w:t>
      </w:r>
      <w:r w:rsidRPr="00B24801">
        <w:rPr>
          <w:rFonts w:cs="Times New Roman"/>
        </w:rPr>
        <w:t>,</w:t>
      </w:r>
      <w:r w:rsidRPr="00B24801">
        <w:rPr>
          <w:rFonts w:cs="Times New Roman"/>
          <w:i/>
        </w:rPr>
        <w:t xml:space="preserve"> </w:t>
      </w:r>
      <w:r w:rsidRPr="00B24801">
        <w:rPr>
          <w:rFonts w:cs="Times New Roman"/>
        </w:rPr>
        <w:t>par. 17-18).</w:t>
      </w:r>
    </w:p>
    <w:bookmarkEnd w:id="18"/>
    <w:p w14:paraId="01AE592B" w14:textId="77777777" w:rsidR="00B751E6" w:rsidRPr="00B24801" w:rsidRDefault="00B751E6" w:rsidP="00B751E6">
      <w:pPr>
        <w:pStyle w:val="Title3LevelTitre3Niveau"/>
        <w:rPr>
          <w:rFonts w:cs="Times New Roman"/>
        </w:rPr>
      </w:pPr>
      <w:r w:rsidRPr="00B24801">
        <w:rPr>
          <w:rFonts w:cs="Times New Roman"/>
        </w:rPr>
        <w:t xml:space="preserve">Le pouvoir déclaratoire prévu à l’al. 92(10)c) de la </w:t>
      </w:r>
      <w:r w:rsidRPr="00B24801">
        <w:rPr>
          <w:rFonts w:cs="Times New Roman"/>
          <w:i/>
          <w:iCs/>
        </w:rPr>
        <w:t>Loi constitutionnelle de 1867</w:t>
      </w:r>
    </w:p>
    <w:p w14:paraId="189F7A8D" w14:textId="77777777" w:rsidR="00B751E6" w:rsidRPr="00B24801" w:rsidRDefault="00B751E6" w:rsidP="00B751E6">
      <w:pPr>
        <w:pStyle w:val="ParaNoNdepar-AltN"/>
        <w:rPr>
          <w:rFonts w:cs="Times New Roman"/>
        </w:rPr>
      </w:pPr>
      <w:r w:rsidRPr="00B24801">
        <w:rPr>
          <w:rFonts w:cs="Times New Roman"/>
        </w:rPr>
        <w:t xml:space="preserve">L’alinéa 92(10)c) de la </w:t>
      </w:r>
      <w:r w:rsidRPr="00B24801">
        <w:rPr>
          <w:rFonts w:cs="Times New Roman"/>
          <w:i/>
        </w:rPr>
        <w:t>Loi constitutionnelle de 1867</w:t>
      </w:r>
      <w:r w:rsidRPr="00B24801">
        <w:rPr>
          <w:rFonts w:cs="Times New Roman"/>
        </w:rPr>
        <w:t xml:space="preserve"> confère au Parlement le pouvoir de déclarer des ouvrages « être pour l’avantage général du Canada ». Ce </w:t>
      </w:r>
      <w:r w:rsidRPr="00B24801">
        <w:rPr>
          <w:rFonts w:cs="Times New Roman"/>
        </w:rPr>
        <w:lastRenderedPageBreak/>
        <w:t>pouvoir « extraordinaire » permet au Parlement de « s’attribuer » la compétence exclusive sur des ouvrages qui, n’eût été une telle action, demeureraient sous le contrôle exclusif des provinces (</w:t>
      </w:r>
      <w:r w:rsidRPr="00B24801">
        <w:rPr>
          <w:rFonts w:cs="Times New Roman"/>
          <w:i/>
        </w:rPr>
        <w:t>Ontario Hydro c. Ontario (Commission des relations de travail)</w:t>
      </w:r>
      <w:r w:rsidRPr="00B24801">
        <w:rPr>
          <w:rFonts w:cs="Times New Roman"/>
        </w:rPr>
        <w:t xml:space="preserve">, [1993] 3 R.C.S. 327, p. 398; </w:t>
      </w:r>
      <w:r w:rsidRPr="00B24801">
        <w:rPr>
          <w:rFonts w:cs="Times New Roman"/>
          <w:i/>
        </w:rPr>
        <w:t>Reference re Waters and Water-Powers</w:t>
      </w:r>
      <w:r w:rsidRPr="00B24801">
        <w:rPr>
          <w:rFonts w:cs="Times New Roman"/>
        </w:rPr>
        <w:t>, [1929] R.C.S. 200, p. 220; voir aussi Hogg et Wright, § 22:10). Le pouvoir déclaratoire doit être abordé avec retenue (</w:t>
      </w:r>
      <w:r w:rsidRPr="00B24801">
        <w:rPr>
          <w:rFonts w:cs="Times New Roman"/>
          <w:i/>
        </w:rPr>
        <w:t>Ontario Hydro</w:t>
      </w:r>
      <w:r w:rsidRPr="00B24801">
        <w:rPr>
          <w:rFonts w:cs="Times New Roman"/>
        </w:rPr>
        <w:t>, p. 340 et 404).</w:t>
      </w:r>
    </w:p>
    <w:p w14:paraId="392D21FB" w14:textId="77777777" w:rsidR="00B751E6" w:rsidRPr="00B24801" w:rsidRDefault="00B751E6" w:rsidP="00B751E6">
      <w:pPr>
        <w:pStyle w:val="ParaNoNdepar-AltN"/>
        <w:rPr>
          <w:rFonts w:cs="Times New Roman"/>
        </w:rPr>
      </w:pPr>
      <w:r w:rsidRPr="00B24801">
        <w:rPr>
          <w:rFonts w:cs="Times New Roman"/>
        </w:rPr>
        <w:t>Lorsque le gouvernement fédéral fait usage du pouvoir déclaratoire, sa compétence est limitée aux « aspects de l’ouvrage qui font qu’il est à l’avantage général du Canada » (</w:t>
      </w:r>
      <w:r w:rsidRPr="00B24801">
        <w:rPr>
          <w:rFonts w:cs="Times New Roman"/>
          <w:i/>
        </w:rPr>
        <w:t>Ontario Hydro</w:t>
      </w:r>
      <w:r w:rsidRPr="00B24801">
        <w:rPr>
          <w:rFonts w:cs="Times New Roman"/>
        </w:rPr>
        <w:t>,</w:t>
      </w:r>
      <w:r w:rsidRPr="00B24801">
        <w:rPr>
          <w:rFonts w:cs="Times New Roman"/>
          <w:i/>
        </w:rPr>
        <w:t xml:space="preserve"> </w:t>
      </w:r>
      <w:r w:rsidRPr="00B24801">
        <w:rPr>
          <w:rFonts w:cs="Times New Roman"/>
        </w:rPr>
        <w:t>p. 403-404, le juge Iacobucci). Cela comprend la réglementation de son exploitation et sa gestion :</w:t>
      </w:r>
      <w:r w:rsidRPr="00B24801">
        <w:rPr>
          <w:rFonts w:cs="Times New Roman"/>
          <w:szCs w:val="24"/>
        </w:rPr>
        <w:t xml:space="preserve"> « . . . </w:t>
      </w:r>
      <w:r w:rsidRPr="00B24801">
        <w:rPr>
          <w:rFonts w:cs="Times New Roman"/>
          <w:spacing w:val="-3"/>
        </w:rPr>
        <w:t xml:space="preserve">la compétence législative sur un ouvrage déclaré à l’avantage général du Canada vise l’ouvrage en tant qu’affaire en marche ou unité de fonctionnement, ce qui comprend le contrôle exercé sur son exploitation et sa gestion » </w:t>
      </w:r>
      <w:r w:rsidRPr="00B24801">
        <w:rPr>
          <w:rFonts w:cs="Times New Roman"/>
          <w:szCs w:val="24"/>
        </w:rPr>
        <w:t>(p. 367, le juge La Forest).</w:t>
      </w:r>
    </w:p>
    <w:p w14:paraId="137D71DA" w14:textId="77777777" w:rsidR="00B751E6" w:rsidRPr="00B24801" w:rsidRDefault="00B751E6" w:rsidP="00B751E6">
      <w:pPr>
        <w:pStyle w:val="ParaNoNdepar-AltN"/>
        <w:rPr>
          <w:rFonts w:cs="Times New Roman"/>
        </w:rPr>
      </w:pPr>
      <w:r w:rsidRPr="00B24801">
        <w:rPr>
          <w:rFonts w:cs="Times New Roman"/>
        </w:rPr>
        <w:t xml:space="preserve">Les matières touchant théoriquement à l’ouvrage, mais qui n’ont pas de lien suffisamment étroit, demeurent sous compétence provinciale. Dans le cas des chemins de fer, par exemple, le Conseil privé a statué que la compétence conférée par l’al. 92(10)c) s’étend à la construction, la réparation, la modification et la gestion de l’ouvrage (voir, p. ex., </w:t>
      </w:r>
      <w:r w:rsidRPr="00B24801">
        <w:rPr>
          <w:rFonts w:cs="Times New Roman"/>
          <w:i/>
        </w:rPr>
        <w:t>Canadian Pacific Railway Co. c. Corporation of the Parish of Notre Dame de Bonsecours</w:t>
      </w:r>
      <w:r w:rsidRPr="00B24801">
        <w:rPr>
          <w:rFonts w:cs="Times New Roman"/>
        </w:rPr>
        <w:t xml:space="preserve">, [1899] A.C. 367). Toutefois, la compétence fédérale ne s’étendait pas à un hôtel destiné aux usagers d’un chemin de fer déclaré être un ouvrage </w:t>
      </w:r>
      <w:r w:rsidRPr="00B24801">
        <w:rPr>
          <w:rFonts w:cs="Times New Roman"/>
        </w:rPr>
        <w:lastRenderedPageBreak/>
        <w:t xml:space="preserve">pour l’avantage général du Canada (voir </w:t>
      </w:r>
      <w:r w:rsidRPr="00B24801">
        <w:rPr>
          <w:rFonts w:eastAsia="Times New Roman" w:cs="Times New Roman"/>
          <w:i/>
          <w:iCs/>
          <w:szCs w:val="24"/>
        </w:rPr>
        <w:t>Canadian Pacific Railway Co.</w:t>
      </w:r>
      <w:r w:rsidRPr="00B24801">
        <w:rPr>
          <w:rFonts w:cs="Times New Roman"/>
          <w:i/>
        </w:rPr>
        <w:t xml:space="preserve"> c. </w:t>
      </w:r>
      <w:r w:rsidRPr="00B24801">
        <w:rPr>
          <w:rFonts w:eastAsia="Times New Roman" w:cs="Times New Roman"/>
          <w:i/>
          <w:iCs/>
          <w:szCs w:val="24"/>
        </w:rPr>
        <w:t>Attorney</w:t>
      </w:r>
      <w:r w:rsidRPr="00B24801">
        <w:rPr>
          <w:rFonts w:cs="Times New Roman"/>
        </w:rPr>
        <w:t>-</w:t>
      </w:r>
      <w:r w:rsidRPr="00B24801">
        <w:rPr>
          <w:rFonts w:eastAsia="Times New Roman" w:cs="Times New Roman"/>
          <w:i/>
          <w:iCs/>
          <w:szCs w:val="24"/>
        </w:rPr>
        <w:t>General for British Columbia</w:t>
      </w:r>
      <w:r w:rsidRPr="00B24801">
        <w:rPr>
          <w:rFonts w:eastAsia="Times New Roman" w:cs="Times New Roman"/>
          <w:szCs w:val="24"/>
        </w:rPr>
        <w:t>, [1950] A.C. 122 (C.P.)</w:t>
      </w:r>
      <w:r w:rsidRPr="00B24801">
        <w:rPr>
          <w:rFonts w:cs="Times New Roman"/>
        </w:rPr>
        <w:t xml:space="preserve">). </w:t>
      </w:r>
    </w:p>
    <w:p w14:paraId="4E857F9A" w14:textId="77777777" w:rsidR="00B751E6" w:rsidRPr="00B24801" w:rsidRDefault="00B751E6" w:rsidP="00B751E6">
      <w:pPr>
        <w:pStyle w:val="ParaNoNdepar-AltN"/>
      </w:pPr>
      <w:r w:rsidRPr="00B24801">
        <w:t>En d’autres termes, l’al. 92(10)c) ne confère pas une véritable compétence « totale » sur un ouvrage, mais plutôt une compétence visant seulement à la fois les « parties matérielles de l’ouvrage » et tout autre aspect relatif à l’exploitation et la gestion de l’ouvrage « qui ont pour effet de l’assujettir spécifiquement à la compétence fédérale</w:t>
      </w:r>
      <w:bookmarkStart w:id="19" w:name="_Hlk216723534"/>
      <w:r w:rsidRPr="00B24801">
        <w:t> » (</w:t>
      </w:r>
      <w:r w:rsidRPr="00B24801">
        <w:rPr>
          <w:i/>
        </w:rPr>
        <w:t>Ontario Hydro</w:t>
      </w:r>
      <w:bookmarkEnd w:id="19"/>
      <w:r w:rsidRPr="00B24801">
        <w:t xml:space="preserve">, p. 339-340, le juge en chef Lamer, p. 367, le juge La Forest, et p. 403-405, le juge Iacobucci). </w:t>
      </w:r>
    </w:p>
    <w:p w14:paraId="727D14C1" w14:textId="77777777" w:rsidR="00B751E6" w:rsidRPr="00B24801" w:rsidRDefault="00B751E6" w:rsidP="00B751E6">
      <w:pPr>
        <w:pStyle w:val="Title2LevelTitre2Niveau"/>
        <w:rPr>
          <w:rFonts w:cs="Times New Roman"/>
        </w:rPr>
      </w:pPr>
      <w:r w:rsidRPr="00B24801">
        <w:rPr>
          <w:rFonts w:cs="Times New Roman"/>
        </w:rPr>
        <w:t>Cadre juridique</w:t>
      </w:r>
    </w:p>
    <w:p w14:paraId="439219D6" w14:textId="77777777" w:rsidR="00B751E6" w:rsidRPr="00B24801" w:rsidRDefault="00B751E6" w:rsidP="00B751E6">
      <w:pPr>
        <w:pStyle w:val="ParaNoNdepar-AltN"/>
        <w:rPr>
          <w:rFonts w:cs="Times New Roman"/>
        </w:rPr>
      </w:pPr>
      <w:r w:rsidRPr="00B24801">
        <w:rPr>
          <w:rFonts w:cs="Times New Roman"/>
        </w:rPr>
        <w:t xml:space="preserve">Des décisions antérieures établissent la façon de déterminer si une entité devrait être assujettie à la compétence fédérale (p. ex., </w:t>
      </w:r>
      <w:r w:rsidRPr="00B24801">
        <w:rPr>
          <w:rFonts w:cs="Times New Roman"/>
          <w:i/>
        </w:rPr>
        <w:t>Tessier</w:t>
      </w:r>
      <w:r w:rsidRPr="00B24801">
        <w:rPr>
          <w:rFonts w:cs="Times New Roman"/>
        </w:rPr>
        <w:t xml:space="preserve">; </w:t>
      </w:r>
      <w:r w:rsidRPr="00B24801">
        <w:rPr>
          <w:rFonts w:cs="Times New Roman"/>
          <w:i/>
        </w:rPr>
        <w:t>Ontario Hydro</w:t>
      </w:r>
      <w:r w:rsidRPr="00B24801">
        <w:rPr>
          <w:rFonts w:cs="Times New Roman"/>
        </w:rPr>
        <w:t xml:space="preserve">; </w:t>
      </w:r>
      <w:proofErr w:type="spellStart"/>
      <w:r w:rsidRPr="00B24801">
        <w:rPr>
          <w:rFonts w:cs="Times New Roman"/>
          <w:i/>
        </w:rPr>
        <w:t>Northern</w:t>
      </w:r>
      <w:proofErr w:type="spellEnd"/>
      <w:r w:rsidRPr="00B24801">
        <w:rPr>
          <w:rFonts w:cs="Times New Roman"/>
          <w:i/>
        </w:rPr>
        <w:t xml:space="preserve"> Telecom Ltd. c. Travailleurs en communication du Canada</w:t>
      </w:r>
      <w:r w:rsidRPr="00B24801">
        <w:rPr>
          <w:rFonts w:cs="Times New Roman"/>
        </w:rPr>
        <w:t>, [1980] 1 R.C.S. 115 (« </w:t>
      </w:r>
      <w:proofErr w:type="spellStart"/>
      <w:r w:rsidRPr="00B24801">
        <w:rPr>
          <w:rFonts w:cs="Times New Roman"/>
          <w:i/>
        </w:rPr>
        <w:t>Northern</w:t>
      </w:r>
      <w:proofErr w:type="spellEnd"/>
      <w:r w:rsidRPr="00B24801">
        <w:rPr>
          <w:rFonts w:cs="Times New Roman"/>
          <w:i/>
        </w:rPr>
        <w:t xml:space="preserve"> Telecom 1 </w:t>
      </w:r>
      <w:r w:rsidRPr="00B24801">
        <w:rPr>
          <w:rFonts w:cs="Times New Roman"/>
        </w:rPr>
        <w:t>»);</w:t>
      </w:r>
      <w:r w:rsidRPr="00B24801">
        <w:rPr>
          <w:rFonts w:cs="Times New Roman"/>
          <w:i/>
        </w:rPr>
        <w:t xml:space="preserve"> </w:t>
      </w:r>
      <w:proofErr w:type="spellStart"/>
      <w:r w:rsidRPr="00B24801">
        <w:rPr>
          <w:rFonts w:cs="Times New Roman"/>
          <w:i/>
        </w:rPr>
        <w:t>Northern</w:t>
      </w:r>
      <w:proofErr w:type="spellEnd"/>
      <w:r w:rsidRPr="00B24801">
        <w:rPr>
          <w:rFonts w:cs="Times New Roman"/>
          <w:i/>
        </w:rPr>
        <w:t xml:space="preserve"> Telecom Canada Ltd. c. Travailleurs en communication du Canada</w:t>
      </w:r>
      <w:r w:rsidRPr="00B24801">
        <w:rPr>
          <w:rFonts w:cs="Times New Roman"/>
        </w:rPr>
        <w:t>, [1983] 1 R.C.S. 733 (« </w:t>
      </w:r>
      <w:proofErr w:type="spellStart"/>
      <w:r w:rsidRPr="00B24801">
        <w:rPr>
          <w:rFonts w:cs="Times New Roman"/>
          <w:i/>
        </w:rPr>
        <w:t>Northern</w:t>
      </w:r>
      <w:proofErr w:type="spellEnd"/>
      <w:r w:rsidRPr="00B24801">
        <w:rPr>
          <w:rFonts w:cs="Times New Roman"/>
          <w:i/>
        </w:rPr>
        <w:t xml:space="preserve"> Telecom 2 </w:t>
      </w:r>
      <w:r w:rsidRPr="00B24801">
        <w:rPr>
          <w:rFonts w:cs="Times New Roman"/>
        </w:rPr>
        <w:t>»);</w:t>
      </w:r>
      <w:r w:rsidRPr="00B24801">
        <w:rPr>
          <w:rFonts w:cs="Times New Roman"/>
          <w:i/>
        </w:rPr>
        <w:t xml:space="preserve"> NIL/TU,O</w:t>
      </w:r>
      <w:r w:rsidRPr="00B24801">
        <w:rPr>
          <w:rFonts w:cs="Times New Roman"/>
        </w:rPr>
        <w:t xml:space="preserve">; </w:t>
      </w:r>
      <w:r w:rsidRPr="00B24801">
        <w:rPr>
          <w:rFonts w:cs="Times New Roman"/>
          <w:i/>
        </w:rPr>
        <w:t>Construction Montcalm Inc. c. La Commission du salaire minimum</w:t>
      </w:r>
      <w:r w:rsidRPr="00B24801">
        <w:rPr>
          <w:rFonts w:cs="Times New Roman"/>
        </w:rPr>
        <w:t>, [1979] 1 R.C.S. 754;</w:t>
      </w:r>
      <w:r w:rsidRPr="00B24801">
        <w:rPr>
          <w:rFonts w:cs="Times New Roman"/>
          <w:i/>
        </w:rPr>
        <w:t xml:space="preserve"> Renvoi relatif aux débardeurs</w:t>
      </w:r>
      <w:r w:rsidRPr="00B24801">
        <w:rPr>
          <w:rFonts w:cs="Times New Roman"/>
        </w:rPr>
        <w:t>;</w:t>
      </w:r>
      <w:r w:rsidRPr="00B24801">
        <w:rPr>
          <w:rFonts w:cs="Times New Roman"/>
          <w:i/>
        </w:rPr>
        <w:t xml:space="preserve"> Four B </w:t>
      </w:r>
      <w:proofErr w:type="spellStart"/>
      <w:r w:rsidRPr="00B24801">
        <w:rPr>
          <w:rFonts w:cs="Times New Roman"/>
          <w:i/>
        </w:rPr>
        <w:t>Manufacturing</w:t>
      </w:r>
      <w:proofErr w:type="spellEnd"/>
      <w:r w:rsidRPr="00B24801">
        <w:rPr>
          <w:rFonts w:cs="Times New Roman"/>
          <w:i/>
        </w:rPr>
        <w:t xml:space="preserve"> Ltd. c. Travailleurs unis du vêtement d’Amérique</w:t>
      </w:r>
      <w:r w:rsidRPr="00B24801">
        <w:rPr>
          <w:rFonts w:cs="Times New Roman"/>
        </w:rPr>
        <w:t xml:space="preserve">, [1980] 1 R.C.S. 1031). Plusieurs de ces décisions énonçaient des facteurs et des critères servant à établir la compétence fédérale avant que l’arrêt </w:t>
      </w:r>
      <w:r w:rsidRPr="00B24801">
        <w:rPr>
          <w:rFonts w:cs="Times New Roman"/>
          <w:i/>
        </w:rPr>
        <w:t>Tessier</w:t>
      </w:r>
      <w:r w:rsidRPr="00B24801">
        <w:rPr>
          <w:rFonts w:cs="Times New Roman"/>
        </w:rPr>
        <w:t xml:space="preserve"> n’en extrait les catégories de compétence « directe » et « dérivée ». Par conséquent, il n’est pas toujours clair à quels aspects des doctrines se rattachent ces facteurs. Cela </w:t>
      </w:r>
      <w:r w:rsidRPr="00B24801">
        <w:rPr>
          <w:rFonts w:cs="Times New Roman"/>
        </w:rPr>
        <w:lastRenderedPageBreak/>
        <w:t>peut causer de la confusion, comme l’ont démontré les décisions des instances inférieures.</w:t>
      </w:r>
    </w:p>
    <w:p w14:paraId="56F60BF8" w14:textId="77777777" w:rsidR="00B751E6" w:rsidRPr="00B24801" w:rsidRDefault="00B751E6" w:rsidP="00B751E6">
      <w:pPr>
        <w:pStyle w:val="ParaNoNdepar-AltN"/>
        <w:rPr>
          <w:rFonts w:eastAsia="Calibri" w:cs="Times New Roman"/>
          <w:i/>
          <w:iCs/>
        </w:rPr>
      </w:pPr>
      <w:r w:rsidRPr="00B24801">
        <w:rPr>
          <w:rFonts w:cs="Times New Roman"/>
        </w:rPr>
        <w:t>Le cadre servant à établir si une entité relève de la compétence fédérale,</w:t>
      </w:r>
      <w:r w:rsidRPr="00B24801">
        <w:rPr>
          <w:rFonts w:eastAsia="Calibri" w:cs="Times New Roman"/>
        </w:rPr>
        <w:t xml:space="preserve"> comme il est indiqué dans l’arrêt </w:t>
      </w:r>
      <w:r w:rsidRPr="00B24801">
        <w:rPr>
          <w:rFonts w:eastAsia="Calibri" w:cs="Times New Roman"/>
          <w:i/>
        </w:rPr>
        <w:t>Tessier</w:t>
      </w:r>
      <w:r w:rsidRPr="00B24801">
        <w:rPr>
          <w:rFonts w:eastAsia="Calibri" w:cs="Times New Roman"/>
        </w:rPr>
        <w:t>,</w:t>
      </w:r>
      <w:r w:rsidRPr="00B24801">
        <w:rPr>
          <w:rFonts w:eastAsia="Calibri" w:cs="Times New Roman"/>
          <w:i/>
        </w:rPr>
        <w:t xml:space="preserve"> </w:t>
      </w:r>
      <w:r w:rsidRPr="00B24801">
        <w:rPr>
          <w:rFonts w:eastAsia="Calibri" w:cs="Times New Roman"/>
        </w:rPr>
        <w:t>oblige le tribunal à</w:t>
      </w:r>
      <w:r w:rsidRPr="00B24801">
        <w:rPr>
          <w:rFonts w:cs="Times New Roman"/>
        </w:rPr>
        <w:t xml:space="preserve"> identifier l’entité et sa nature fonctionnelle essentielle. Si l’e</w:t>
      </w:r>
      <w:r w:rsidRPr="00B24801">
        <w:rPr>
          <w:rFonts w:eastAsia="Calibri" w:cs="Times New Roman"/>
        </w:rPr>
        <w:t>ntité est une unité au sein d’une organisation plus large, cette unité doit être fonctionnellement distincte du reste de l’organisation. Le tribunal doit ensuite</w:t>
      </w:r>
      <w:r w:rsidRPr="00B24801">
        <w:rPr>
          <w:rFonts w:cs="Times New Roman"/>
        </w:rPr>
        <w:t xml:space="preserve"> déterminer si l’entité respecte les critères relatifs à la compétence directe ou à la compétence dérivée.</w:t>
      </w:r>
    </w:p>
    <w:p w14:paraId="38361225" w14:textId="77777777" w:rsidR="00B751E6" w:rsidRPr="00B24801" w:rsidRDefault="00B751E6" w:rsidP="00B751E6">
      <w:pPr>
        <w:pStyle w:val="Title3LevelTitre3Niveau"/>
        <w:rPr>
          <w:rFonts w:eastAsia="Calibri"/>
        </w:rPr>
      </w:pPr>
      <w:r w:rsidRPr="00B24801">
        <w:t xml:space="preserve">Première étape : identifier l’entité et sa nature fonctionnelle essentielle </w:t>
      </w:r>
    </w:p>
    <w:p w14:paraId="0D62E23F" w14:textId="77777777" w:rsidR="00B751E6" w:rsidRPr="00B24801" w:rsidRDefault="00B751E6" w:rsidP="00B751E6">
      <w:pPr>
        <w:pStyle w:val="ParaNoNdepar-AltN"/>
        <w:rPr>
          <w:rFonts w:eastAsia="Calibri" w:cs="Times New Roman"/>
        </w:rPr>
      </w:pPr>
      <w:r w:rsidRPr="00B24801">
        <w:rPr>
          <w:rFonts w:cs="Times New Roman"/>
        </w:rPr>
        <w:t>La première étape consiste à</w:t>
      </w:r>
      <w:r w:rsidRPr="00B24801">
        <w:rPr>
          <w:rFonts w:eastAsia="Calibri" w:cs="Times New Roman"/>
        </w:rPr>
        <w:t xml:space="preserve"> </w:t>
      </w:r>
      <w:r w:rsidRPr="00B24801">
        <w:rPr>
          <w:rFonts w:cs="Times New Roman"/>
        </w:rPr>
        <w:t xml:space="preserve">identifier </w:t>
      </w:r>
      <w:r w:rsidRPr="00B24801">
        <w:rPr>
          <w:rFonts w:eastAsia="Calibri" w:cs="Times New Roman"/>
        </w:rPr>
        <w:t>l’</w:t>
      </w:r>
      <w:r w:rsidRPr="00B24801">
        <w:rPr>
          <w:rFonts w:cs="Times New Roman"/>
        </w:rPr>
        <w:t>entité</w:t>
      </w:r>
      <w:r w:rsidRPr="00B24801">
        <w:rPr>
          <w:rFonts w:eastAsia="Calibri" w:cs="Times New Roman"/>
        </w:rPr>
        <w:t xml:space="preserve"> en cause. S’agit-il d’une</w:t>
      </w:r>
      <w:r w:rsidRPr="00B24801">
        <w:rPr>
          <w:rFonts w:cs="Times New Roman"/>
        </w:rPr>
        <w:t xml:space="preserve"> organisation commerciale entière ou d’une unité identifiable et distincte au sein d’une telle organisation</w:t>
      </w:r>
      <w:r w:rsidRPr="00B24801">
        <w:rPr>
          <w:rFonts w:eastAsia="Calibri" w:cs="Times New Roman"/>
        </w:rPr>
        <w:t>? La cour doit ensuite</w:t>
      </w:r>
      <w:r w:rsidRPr="00B24801">
        <w:rPr>
          <w:rFonts w:cs="Times New Roman"/>
        </w:rPr>
        <w:t xml:space="preserve"> déterminer sa « nature fonctionnelle essentielle »,</w:t>
      </w:r>
      <w:r w:rsidRPr="00B24801">
        <w:rPr>
          <w:rFonts w:eastAsia="Calibri" w:cs="Times New Roman"/>
        </w:rPr>
        <w:t xml:space="preserve"> c’est-à-dire</w:t>
      </w:r>
      <w:r w:rsidRPr="00B24801">
        <w:rPr>
          <w:rFonts w:cs="Times New Roman"/>
        </w:rPr>
        <w:t xml:space="preserve"> la nature de son travail, de ses opérations et de ses activités quotidiennes (</w:t>
      </w:r>
      <w:r w:rsidRPr="00B24801">
        <w:rPr>
          <w:rFonts w:cs="Times New Roman"/>
          <w:i/>
        </w:rPr>
        <w:t>Tessier</w:t>
      </w:r>
      <w:r w:rsidRPr="00B24801">
        <w:rPr>
          <w:rFonts w:cs="Times New Roman"/>
        </w:rPr>
        <w:t>,</w:t>
      </w:r>
      <w:r w:rsidRPr="00B24801">
        <w:rPr>
          <w:rFonts w:cs="Times New Roman"/>
          <w:i/>
        </w:rPr>
        <w:t xml:space="preserve"> </w:t>
      </w:r>
      <w:r w:rsidRPr="00B24801">
        <w:rPr>
          <w:rFonts w:cs="Times New Roman"/>
        </w:rPr>
        <w:t xml:space="preserve">par. 18; </w:t>
      </w:r>
      <w:r w:rsidRPr="00B24801">
        <w:rPr>
          <w:rFonts w:cs="Times New Roman"/>
          <w:i/>
        </w:rPr>
        <w:t>Construction Montcalm</w:t>
      </w:r>
      <w:r w:rsidRPr="00B24801">
        <w:rPr>
          <w:rFonts w:cs="Times New Roman"/>
        </w:rPr>
        <w:t>, p. 769). Il s’agit d’une « évaluation fonctionnelle » qui analyse les fonctions de</w:t>
      </w:r>
      <w:bookmarkStart w:id="20" w:name="_Hlk233724700"/>
      <w:r w:rsidRPr="00B24801">
        <w:rPr>
          <w:rFonts w:cs="Times New Roman"/>
        </w:rPr>
        <w:t xml:space="preserve"> l’entité </w:t>
      </w:r>
      <w:bookmarkEnd w:id="20"/>
      <w:r w:rsidRPr="00B24801">
        <w:rPr>
          <w:rFonts w:cs="Times New Roman"/>
        </w:rPr>
        <w:t>« en tant qu’entreprise active, en fonction de ses caractéristiques constantes uniquement » (</w:t>
      </w:r>
      <w:r w:rsidRPr="00B24801">
        <w:rPr>
          <w:rFonts w:cs="Times New Roman"/>
          <w:i/>
        </w:rPr>
        <w:t>Tessier</w:t>
      </w:r>
      <w:r w:rsidRPr="00B24801">
        <w:rPr>
          <w:rFonts w:cs="Times New Roman"/>
        </w:rPr>
        <w:t xml:space="preserve">, par. 19; voir aussi </w:t>
      </w:r>
      <w:r w:rsidRPr="00B24801">
        <w:rPr>
          <w:rFonts w:cs="Times New Roman"/>
          <w:i/>
        </w:rPr>
        <w:t xml:space="preserve">Bell </w:t>
      </w:r>
      <w:proofErr w:type="spellStart"/>
      <w:r w:rsidRPr="00B24801">
        <w:rPr>
          <w:rFonts w:cs="Times New Roman"/>
          <w:i/>
        </w:rPr>
        <w:t>Telephone</w:t>
      </w:r>
      <w:proofErr w:type="spellEnd"/>
      <w:r w:rsidRPr="00B24801">
        <w:rPr>
          <w:rFonts w:cs="Times New Roman"/>
        </w:rPr>
        <w:t xml:space="preserve">, p. 771-772). Il faut mettre l’accent sur ce que l’entité </w:t>
      </w:r>
      <w:r w:rsidRPr="00B24801">
        <w:rPr>
          <w:rFonts w:cs="Times New Roman"/>
          <w:i/>
        </w:rPr>
        <w:t>fait réellement</w:t>
      </w:r>
      <w:r w:rsidRPr="00B24801">
        <w:rPr>
          <w:rFonts w:cs="Times New Roman"/>
        </w:rPr>
        <w:t xml:space="preserve"> et pour qui elle fait ce travail — et non sur une activité exceptionnelle ou inhabituelle, en dehors de la portée habituelle de son travail (</w:t>
      </w:r>
      <w:r w:rsidRPr="00B24801">
        <w:rPr>
          <w:rFonts w:cs="Times New Roman"/>
          <w:i/>
        </w:rPr>
        <w:t>Tessier</w:t>
      </w:r>
      <w:r w:rsidRPr="00B24801">
        <w:rPr>
          <w:rFonts w:cs="Times New Roman"/>
        </w:rPr>
        <w:t xml:space="preserve">, par. 19; </w:t>
      </w:r>
      <w:r w:rsidRPr="00B24801">
        <w:rPr>
          <w:rFonts w:cs="Times New Roman"/>
          <w:i/>
        </w:rPr>
        <w:t>Construction Montcalm</w:t>
      </w:r>
      <w:r w:rsidRPr="00B24801">
        <w:rPr>
          <w:rFonts w:cs="Times New Roman"/>
        </w:rPr>
        <w:t>, p. 769).</w:t>
      </w:r>
    </w:p>
    <w:p w14:paraId="258E4555" w14:textId="77777777" w:rsidR="00B751E6" w:rsidRPr="00B24801" w:rsidRDefault="00B751E6" w:rsidP="00B751E6">
      <w:pPr>
        <w:pStyle w:val="ParaNoNdepar-AltN"/>
        <w:rPr>
          <w:rFonts w:cs="Times New Roman"/>
        </w:rPr>
      </w:pPr>
      <w:r w:rsidRPr="00B24801">
        <w:rPr>
          <w:rFonts w:cs="Times New Roman"/>
        </w:rPr>
        <w:lastRenderedPageBreak/>
        <w:t>Dans le cadre de cette analyse, la cour doit identifier un ouvrage ou une entreprise de nature fédérale auquel se rapporte le travail de l’entité. S’il n’y en a aucun, l’analyse échoue.</w:t>
      </w:r>
    </w:p>
    <w:p w14:paraId="5E069B6E" w14:textId="77777777" w:rsidR="00B751E6" w:rsidRPr="00B24801" w:rsidRDefault="00B751E6" w:rsidP="00B751E6">
      <w:pPr>
        <w:pStyle w:val="ParaNoNdepar-AltN"/>
        <w:rPr>
          <w:rFonts w:cs="Times New Roman"/>
        </w:rPr>
      </w:pPr>
      <w:r w:rsidRPr="00B24801">
        <w:rPr>
          <w:rFonts w:cs="Times New Roman"/>
        </w:rPr>
        <w:t>Les ouvrages ou travaux (« </w:t>
      </w:r>
      <w:proofErr w:type="spellStart"/>
      <w:r w:rsidRPr="00B24801">
        <w:rPr>
          <w:rFonts w:cs="Times New Roman"/>
          <w:i/>
          <w:iCs/>
        </w:rPr>
        <w:t>works</w:t>
      </w:r>
      <w:proofErr w:type="spellEnd"/>
      <w:r w:rsidRPr="00B24801">
        <w:rPr>
          <w:rFonts w:cs="Times New Roman"/>
        </w:rPr>
        <w:t> » en anglais) sont distincts des entreprises (</w:t>
      </w:r>
      <w:r w:rsidRPr="00B24801">
        <w:rPr>
          <w:rFonts w:cs="Times New Roman"/>
          <w:i/>
        </w:rPr>
        <w:t xml:space="preserve">Bell </w:t>
      </w:r>
      <w:proofErr w:type="spellStart"/>
      <w:r w:rsidRPr="00B24801">
        <w:rPr>
          <w:rFonts w:cs="Times New Roman"/>
          <w:i/>
        </w:rPr>
        <w:t>Telephone</w:t>
      </w:r>
      <w:proofErr w:type="spellEnd"/>
      <w:r w:rsidRPr="00B24801">
        <w:rPr>
          <w:rFonts w:cs="Times New Roman"/>
        </w:rPr>
        <w:t xml:space="preserve">, p. 772; </w:t>
      </w:r>
      <w:r w:rsidRPr="00B24801">
        <w:rPr>
          <w:rFonts w:cs="Times New Roman"/>
          <w:i/>
        </w:rPr>
        <w:t>Renvoi relatif aux débardeurs</w:t>
      </w:r>
      <w:r w:rsidRPr="00B24801">
        <w:rPr>
          <w:rFonts w:cs="Times New Roman"/>
        </w:rPr>
        <w:t>,</w:t>
      </w:r>
      <w:r w:rsidRPr="00B24801">
        <w:rPr>
          <w:rFonts w:cs="Times New Roman"/>
          <w:i/>
        </w:rPr>
        <w:t xml:space="preserve"> </w:t>
      </w:r>
      <w:r w:rsidRPr="00B24801">
        <w:rPr>
          <w:rFonts w:cs="Times New Roman"/>
        </w:rPr>
        <w:t>p. 553). Ce sont des [</w:t>
      </w:r>
      <w:r w:rsidRPr="00B24801">
        <w:rPr>
          <w:rFonts w:cs="Times New Roman"/>
          <w:smallCaps/>
        </w:rPr>
        <w:t>traduction</w:t>
      </w:r>
      <w:r w:rsidRPr="00B24801">
        <w:rPr>
          <w:rFonts w:cs="Times New Roman"/>
        </w:rPr>
        <w:t>] « installation[s] physique[s] », comme des silos à grains et des centrales nucléaires, où ont lieu les activités de l’entreprise (</w:t>
      </w:r>
      <w:proofErr w:type="spellStart"/>
      <w:r w:rsidRPr="00B24801">
        <w:rPr>
          <w:rFonts w:cs="Times New Roman"/>
          <w:i/>
        </w:rPr>
        <w:t>Consolidated</w:t>
      </w:r>
      <w:proofErr w:type="spellEnd"/>
      <w:r w:rsidRPr="00B24801">
        <w:rPr>
          <w:rFonts w:cs="Times New Roman"/>
          <w:i/>
        </w:rPr>
        <w:t xml:space="preserve"> </w:t>
      </w:r>
      <w:proofErr w:type="spellStart"/>
      <w:r w:rsidRPr="00B24801">
        <w:rPr>
          <w:rFonts w:cs="Times New Roman"/>
          <w:i/>
        </w:rPr>
        <w:t>Fastfrate</w:t>
      </w:r>
      <w:proofErr w:type="spellEnd"/>
      <w:r w:rsidRPr="00B24801">
        <w:rPr>
          <w:rFonts w:cs="Times New Roman"/>
          <w:i/>
        </w:rPr>
        <w:t xml:space="preserve"> Inc. c. Western Canada Council of </w:t>
      </w:r>
      <w:proofErr w:type="spellStart"/>
      <w:r w:rsidRPr="00B24801">
        <w:rPr>
          <w:rFonts w:cs="Times New Roman"/>
          <w:i/>
        </w:rPr>
        <w:t>Teamsters</w:t>
      </w:r>
      <w:proofErr w:type="spellEnd"/>
      <w:r w:rsidRPr="00B24801">
        <w:rPr>
          <w:rFonts w:cs="Times New Roman"/>
        </w:rPr>
        <w:t xml:space="preserve">, 2009 CSC 53, [2009] 3 R.C.S. 407, par. 41; voir aussi Hogg et Wright, § 22:10, citant </w:t>
      </w:r>
      <w:r w:rsidRPr="00B24801">
        <w:rPr>
          <w:rFonts w:cs="Times New Roman"/>
          <w:i/>
        </w:rPr>
        <w:t xml:space="preserve">City of </w:t>
      </w:r>
      <w:proofErr w:type="spellStart"/>
      <w:r w:rsidRPr="00B24801">
        <w:rPr>
          <w:rFonts w:cs="Times New Roman"/>
          <w:i/>
        </w:rPr>
        <w:t>Montreal</w:t>
      </w:r>
      <w:proofErr w:type="spellEnd"/>
      <w:r w:rsidRPr="00B24801">
        <w:rPr>
          <w:rFonts w:cs="Times New Roman"/>
          <w:i/>
        </w:rPr>
        <w:t xml:space="preserve"> c. </w:t>
      </w:r>
      <w:proofErr w:type="spellStart"/>
      <w:r w:rsidRPr="00B24801">
        <w:rPr>
          <w:rFonts w:cs="Times New Roman"/>
          <w:i/>
        </w:rPr>
        <w:t>Montreal</w:t>
      </w:r>
      <w:proofErr w:type="spellEnd"/>
      <w:r w:rsidRPr="00B24801">
        <w:rPr>
          <w:rFonts w:cs="Times New Roman"/>
          <w:i/>
        </w:rPr>
        <w:t xml:space="preserve"> Street Railway</w:t>
      </w:r>
      <w:r w:rsidRPr="00B24801">
        <w:rPr>
          <w:rFonts w:cs="Times New Roman"/>
        </w:rPr>
        <w:t xml:space="preserve">, [1912] A.C. 333 (C.P.), p. 342; </w:t>
      </w:r>
      <w:r w:rsidRPr="00B24801">
        <w:rPr>
          <w:rFonts w:cs="Times New Roman"/>
          <w:i/>
        </w:rPr>
        <w:t>Ontario Hydro</w:t>
      </w:r>
      <w:r w:rsidRPr="00B24801">
        <w:rPr>
          <w:rFonts w:cs="Times New Roman"/>
        </w:rPr>
        <w:t>, p. 349).</w:t>
      </w:r>
    </w:p>
    <w:p w14:paraId="3E85A4BA" w14:textId="77777777" w:rsidR="00B751E6" w:rsidRPr="00B24801" w:rsidRDefault="00B751E6" w:rsidP="00B751E6">
      <w:pPr>
        <w:pStyle w:val="ParaNoNdepar-AltN"/>
        <w:rPr>
          <w:rFonts w:eastAsia="Calibri" w:cs="Times New Roman"/>
        </w:rPr>
      </w:pPr>
      <w:r w:rsidRPr="00B24801">
        <w:rPr>
          <w:rFonts w:cs="Times New Roman"/>
        </w:rPr>
        <w:t>Une entreprise (« </w:t>
      </w:r>
      <w:proofErr w:type="spellStart"/>
      <w:r w:rsidRPr="00B24801">
        <w:rPr>
          <w:rFonts w:cs="Times New Roman"/>
          <w:i/>
          <w:iCs/>
        </w:rPr>
        <w:t>undertaking</w:t>
      </w:r>
      <w:proofErr w:type="spellEnd"/>
      <w:r w:rsidRPr="00B24801">
        <w:rPr>
          <w:rFonts w:cs="Times New Roman"/>
        </w:rPr>
        <w:t xml:space="preserve"> » en anglais) fédérale est un arrangement qui englobe « l’ensemble intégré des opérations qui permettent d’exercer » les activités de compétence fédérale énoncées à l’art. 91 de la </w:t>
      </w:r>
      <w:r w:rsidRPr="00B24801">
        <w:rPr>
          <w:rFonts w:cs="Times New Roman"/>
          <w:i/>
        </w:rPr>
        <w:t xml:space="preserve">Loi constitutionnelle de 1867 </w:t>
      </w:r>
      <w:r w:rsidRPr="00B24801">
        <w:rPr>
          <w:rFonts w:cs="Times New Roman"/>
        </w:rPr>
        <w:t xml:space="preserve">(p. ex., le service postal, les bâtiments ou navires; H. Brun, G. Tremblay et E. Brouillet, </w:t>
      </w:r>
      <w:r w:rsidRPr="00B24801">
        <w:rPr>
          <w:rFonts w:cs="Times New Roman"/>
          <w:i/>
        </w:rPr>
        <w:t>Droit constitutionnel</w:t>
      </w:r>
      <w:r w:rsidRPr="00B24801">
        <w:rPr>
          <w:rFonts w:cs="Times New Roman"/>
        </w:rPr>
        <w:t xml:space="preserve"> (6</w:t>
      </w:r>
      <w:r w:rsidRPr="00B24801">
        <w:rPr>
          <w:rFonts w:cs="Times New Roman"/>
          <w:vertAlign w:val="superscript"/>
        </w:rPr>
        <w:t>e</w:t>
      </w:r>
      <w:r w:rsidRPr="00B24801">
        <w:rPr>
          <w:rFonts w:cs="Times New Roman"/>
        </w:rPr>
        <w:t xml:space="preserve"> éd. 2014), par. VI-2.287). Celles-ci comprennent l’exploitation et la gestion d’ouvrages fédéraux au titre du par. 92(10), par le truchement du par. 91(29) (voir </w:t>
      </w:r>
      <w:proofErr w:type="spellStart"/>
      <w:r w:rsidRPr="00B24801">
        <w:rPr>
          <w:rFonts w:cs="Times New Roman"/>
          <w:i/>
        </w:rPr>
        <w:t>Consolidated</w:t>
      </w:r>
      <w:proofErr w:type="spellEnd"/>
      <w:r w:rsidRPr="00B24801">
        <w:rPr>
          <w:rFonts w:cs="Times New Roman"/>
          <w:i/>
        </w:rPr>
        <w:t xml:space="preserve"> </w:t>
      </w:r>
      <w:proofErr w:type="spellStart"/>
      <w:r w:rsidRPr="00B24801">
        <w:rPr>
          <w:rFonts w:cs="Times New Roman"/>
          <w:i/>
        </w:rPr>
        <w:t>Fastfrate</w:t>
      </w:r>
      <w:proofErr w:type="spellEnd"/>
      <w:r w:rsidRPr="00B24801">
        <w:rPr>
          <w:rFonts w:cs="Times New Roman"/>
        </w:rPr>
        <w:t xml:space="preserve">, par. 41; </w:t>
      </w:r>
      <w:proofErr w:type="spellStart"/>
      <w:r w:rsidRPr="00B24801">
        <w:rPr>
          <w:rFonts w:cs="Times New Roman"/>
          <w:i/>
        </w:rPr>
        <w:t>Westcoast</w:t>
      </w:r>
      <w:proofErr w:type="spellEnd"/>
      <w:r w:rsidRPr="00B24801">
        <w:rPr>
          <w:rFonts w:cs="Times New Roman"/>
          <w:i/>
        </w:rPr>
        <w:t xml:space="preserve"> Energy Inc. c. Canada (Office national de l’énergie)</w:t>
      </w:r>
      <w:r w:rsidRPr="00B24801">
        <w:rPr>
          <w:rFonts w:cs="Times New Roman"/>
        </w:rPr>
        <w:t>, [1998] 1 R.C.S. 322, par. 47; voir aussi Brun, Tremblay et Brouillet, par. VI-2.274-VI-2.284). En d’autres mots, le terme « entreprise » peut s’entendre d’un arrangement qui soutient l’exploitation d’un ouvrage unique, comme un silo à grains, ou un arrangement plus large, comme le service postal.</w:t>
      </w:r>
    </w:p>
    <w:p w14:paraId="280D3E47" w14:textId="77777777" w:rsidR="00B751E6" w:rsidRPr="00B24801" w:rsidRDefault="00B751E6" w:rsidP="00B751E6">
      <w:pPr>
        <w:pStyle w:val="ParaNoNdepar-AltN"/>
        <w:rPr>
          <w:rFonts w:cs="Times New Roman"/>
        </w:rPr>
      </w:pPr>
      <w:r w:rsidRPr="00B24801">
        <w:rPr>
          <w:rFonts w:eastAsia="Calibri" w:cs="Times New Roman"/>
        </w:rPr>
        <w:lastRenderedPageBreak/>
        <w:t>Si l’entité peut être considérée comme une seule organisation commerciale, l’ensemble de ses opérations pourrait relever de la compétence directe ou de la compétence dérivée, à supposer qu’il est satisfait à l’un des critères juridiques applicables. En revanche, si l’entité en question est une unité au sein de l’organisation commerciale, le tribunal doit tout d’abord être convaincu qu’elle constitue une « unité fonctionnelle particulière » qui peut se distinguer structuralement sur le plan constitutionnel du reste de cette organisation (</w:t>
      </w:r>
      <w:r w:rsidRPr="00B24801">
        <w:rPr>
          <w:rFonts w:eastAsia="Calibri" w:cs="Times New Roman"/>
          <w:i/>
          <w:iCs/>
        </w:rPr>
        <w:t>Tessier</w:t>
      </w:r>
      <w:r w:rsidRPr="00B24801">
        <w:rPr>
          <w:rFonts w:eastAsia="Calibri" w:cs="Times New Roman"/>
        </w:rPr>
        <w:t>, par. 49).</w:t>
      </w:r>
      <w:r w:rsidRPr="00B24801">
        <w:rPr>
          <w:rFonts w:cs="Times New Roman"/>
        </w:rPr>
        <w:t xml:space="preserve"> Une entreprise indivisible et intégrée ne doit pas être artificiellement scindée aux fins de classification constitutionnelle </w:t>
      </w:r>
      <w:r w:rsidRPr="00B24801">
        <w:rPr>
          <w:rFonts w:eastAsia="Calibri" w:cs="Times New Roman"/>
        </w:rPr>
        <w:t xml:space="preserve">(par. 55; Hogg et Wright, </w:t>
      </w:r>
      <w:r w:rsidRPr="00B24801">
        <w:rPr>
          <w:rFonts w:eastAsia="Times New Roman" w:cs="Times New Roman"/>
          <w:szCs w:val="24"/>
        </w:rPr>
        <w:t>§ 22:5</w:t>
      </w:r>
      <w:r w:rsidRPr="00B24801">
        <w:rPr>
          <w:rFonts w:eastAsia="Calibri" w:cs="Times New Roman"/>
        </w:rPr>
        <w:t>).</w:t>
      </w:r>
    </w:p>
    <w:p w14:paraId="1F1AE0F1" w14:textId="77777777" w:rsidR="00B751E6" w:rsidRPr="00B24801" w:rsidRDefault="00B751E6" w:rsidP="00B751E6">
      <w:pPr>
        <w:pStyle w:val="ParaNoNdepar-AltN"/>
        <w:rPr>
          <w:rFonts w:cs="Times New Roman"/>
        </w:rPr>
      </w:pPr>
      <w:r w:rsidRPr="00B24801">
        <w:rPr>
          <w:rFonts w:cs="Times New Roman"/>
        </w:rPr>
        <w:t>Pour déterminer si une unité est fonctionnellement distincte, le tribunal doit être convaincu qu’elle peut être séparée ou dissociée des autres employés de l’organisation (</w:t>
      </w:r>
      <w:proofErr w:type="spellStart"/>
      <w:r w:rsidRPr="00B24801">
        <w:rPr>
          <w:rFonts w:cs="Times New Roman"/>
          <w:i/>
        </w:rPr>
        <w:t>Northern</w:t>
      </w:r>
      <w:proofErr w:type="spellEnd"/>
      <w:r w:rsidRPr="00B24801">
        <w:rPr>
          <w:rFonts w:cs="Times New Roman"/>
          <w:i/>
        </w:rPr>
        <w:t xml:space="preserve"> Telecom 2</w:t>
      </w:r>
      <w:r w:rsidRPr="00B24801">
        <w:rPr>
          <w:rFonts w:cs="Times New Roman"/>
        </w:rPr>
        <w:t xml:space="preserve">, p. 770). Dans le cas où l’unité ne peut être séparée parce qu’elle travaille régulièrement avec une autre unité qui n’est pas associée à l’ouvrage ou l’entreprise de nature fédérale, ou que celle-ci en dépend, il est illogique, d’un point de vue opérationnel, que des travailleurs du même employeur soient assujettis à des régimes de relations de travail différents. </w:t>
      </w:r>
    </w:p>
    <w:p w14:paraId="65344B66" w14:textId="77777777" w:rsidR="00B751E6" w:rsidRPr="00B24801" w:rsidRDefault="00B751E6" w:rsidP="00B751E6">
      <w:pPr>
        <w:pStyle w:val="ParaNoNdepar-AltN"/>
        <w:rPr>
          <w:rFonts w:cs="Times New Roman"/>
        </w:rPr>
      </w:pPr>
      <w:r w:rsidRPr="00B24801">
        <w:rPr>
          <w:rFonts w:cs="Times New Roman"/>
        </w:rPr>
        <w:t>Il n’y a pas de critère établi servant à déterminer la spécificité fonctionnelle d’une unité. L’analyse est souple et axée sur la « nature dominante » d’une unité ainsi que sur la question de savoir si cette nature se distingue suffisamment de celle d’autres unités dans l’organisation (</w:t>
      </w:r>
      <w:r w:rsidRPr="00B24801">
        <w:rPr>
          <w:rFonts w:cs="Times New Roman"/>
          <w:i/>
        </w:rPr>
        <w:t>Tessier</w:t>
      </w:r>
      <w:r w:rsidRPr="00B24801">
        <w:rPr>
          <w:rFonts w:cs="Times New Roman"/>
        </w:rPr>
        <w:t xml:space="preserve">, par. 55, citant </w:t>
      </w:r>
      <w:proofErr w:type="spellStart"/>
      <w:r w:rsidRPr="00B24801">
        <w:rPr>
          <w:rFonts w:cs="Times New Roman"/>
          <w:i/>
        </w:rPr>
        <w:t>Westcoast</w:t>
      </w:r>
      <w:proofErr w:type="spellEnd"/>
      <w:r w:rsidRPr="00B24801">
        <w:rPr>
          <w:rFonts w:cs="Times New Roman"/>
          <w:i/>
        </w:rPr>
        <w:t xml:space="preserve"> Energy</w:t>
      </w:r>
      <w:r w:rsidRPr="00B24801">
        <w:rPr>
          <w:rFonts w:cs="Times New Roman"/>
        </w:rPr>
        <w:t>,</w:t>
      </w:r>
      <w:r w:rsidRPr="00B24801">
        <w:rPr>
          <w:rFonts w:cs="Times New Roman"/>
          <w:i/>
        </w:rPr>
        <w:t xml:space="preserve"> </w:t>
      </w:r>
      <w:r w:rsidRPr="00B24801">
        <w:rPr>
          <w:rFonts w:cs="Times New Roman"/>
        </w:rPr>
        <w:t xml:space="preserve">par. 124). Surtout, la structure de la société ou la situation géographique ne peuvent, à elles seules, </w:t>
      </w:r>
      <w:r w:rsidRPr="00B24801">
        <w:rPr>
          <w:rFonts w:cs="Times New Roman"/>
        </w:rPr>
        <w:lastRenderedPageBreak/>
        <w:t>déterminer la classification constitutionnelle. L’accent devrait plutôt être mis sur les services que fournit l’unité (</w:t>
      </w:r>
      <w:r w:rsidRPr="00B24801">
        <w:rPr>
          <w:rFonts w:cs="Times New Roman"/>
          <w:i/>
        </w:rPr>
        <w:t xml:space="preserve">Alberta </w:t>
      </w:r>
      <w:proofErr w:type="spellStart"/>
      <w:r w:rsidRPr="00B24801">
        <w:rPr>
          <w:rFonts w:cs="Times New Roman"/>
          <w:i/>
        </w:rPr>
        <w:t>Government</w:t>
      </w:r>
      <w:proofErr w:type="spellEnd"/>
      <w:r w:rsidRPr="00B24801">
        <w:rPr>
          <w:rFonts w:cs="Times New Roman"/>
          <w:i/>
        </w:rPr>
        <w:t xml:space="preserve"> </w:t>
      </w:r>
      <w:proofErr w:type="spellStart"/>
      <w:r w:rsidRPr="00B24801">
        <w:rPr>
          <w:rFonts w:cs="Times New Roman"/>
          <w:i/>
        </w:rPr>
        <w:t>Telephones</w:t>
      </w:r>
      <w:proofErr w:type="spellEnd"/>
      <w:r w:rsidRPr="00B24801">
        <w:rPr>
          <w:rFonts w:cs="Times New Roman"/>
          <w:i/>
        </w:rPr>
        <w:t xml:space="preserve"> c. Canada (Conseil de la radiodiffusion et des télécommunications canadiennes)</w:t>
      </w:r>
      <w:r w:rsidRPr="00B24801">
        <w:rPr>
          <w:rFonts w:cs="Times New Roman"/>
        </w:rPr>
        <w:t xml:space="preserve">, [1989] 2 R.C.S. 225, p. 263-264; </w:t>
      </w:r>
      <w:proofErr w:type="spellStart"/>
      <w:r w:rsidRPr="00B24801">
        <w:rPr>
          <w:rFonts w:cs="Times New Roman"/>
          <w:i/>
        </w:rPr>
        <w:t>Northern</w:t>
      </w:r>
      <w:proofErr w:type="spellEnd"/>
      <w:r w:rsidRPr="00B24801">
        <w:rPr>
          <w:rFonts w:cs="Times New Roman"/>
          <w:i/>
        </w:rPr>
        <w:t xml:space="preserve"> Telecom 1</w:t>
      </w:r>
      <w:r w:rsidRPr="00B24801">
        <w:rPr>
          <w:rFonts w:cs="Times New Roman"/>
        </w:rPr>
        <w:t>, p. 133). La compétence repose sur le fond, et non sur les étiquettes.</w:t>
      </w:r>
      <w:r w:rsidRPr="00B24801">
        <w:rPr>
          <w:rFonts w:cs="Times New Roman"/>
          <w:i/>
        </w:rPr>
        <w:t xml:space="preserve"> </w:t>
      </w:r>
    </w:p>
    <w:p w14:paraId="223D7DB2" w14:textId="77777777" w:rsidR="00B751E6" w:rsidRPr="00B24801" w:rsidRDefault="00B751E6" w:rsidP="00B751E6">
      <w:pPr>
        <w:pStyle w:val="ParaNoNdepar-AltN"/>
        <w:rPr>
          <w:rFonts w:cs="Times New Roman"/>
        </w:rPr>
      </w:pPr>
      <w:r w:rsidRPr="00B24801">
        <w:rPr>
          <w:rFonts w:cs="Times New Roman"/>
        </w:rPr>
        <w:t xml:space="preserve">À partir des arrêts </w:t>
      </w:r>
      <w:proofErr w:type="spellStart"/>
      <w:r w:rsidRPr="00B24801">
        <w:rPr>
          <w:rFonts w:cs="Times New Roman"/>
          <w:i/>
        </w:rPr>
        <w:t>Northern</w:t>
      </w:r>
      <w:proofErr w:type="spellEnd"/>
      <w:r w:rsidRPr="00B24801">
        <w:rPr>
          <w:rFonts w:cs="Times New Roman"/>
          <w:i/>
        </w:rPr>
        <w:t xml:space="preserve"> Telecom 1 </w:t>
      </w:r>
      <w:r w:rsidRPr="00B24801">
        <w:rPr>
          <w:rFonts w:cs="Times New Roman"/>
        </w:rPr>
        <w:t xml:space="preserve">et </w:t>
      </w:r>
      <w:proofErr w:type="spellStart"/>
      <w:r w:rsidRPr="00B24801">
        <w:rPr>
          <w:rFonts w:cs="Times New Roman"/>
          <w:i/>
        </w:rPr>
        <w:t>Northern</w:t>
      </w:r>
      <w:proofErr w:type="spellEnd"/>
      <w:r w:rsidRPr="00B24801">
        <w:rPr>
          <w:rFonts w:cs="Times New Roman"/>
          <w:i/>
        </w:rPr>
        <w:t xml:space="preserve"> Telecom 2</w:t>
      </w:r>
      <w:r w:rsidRPr="00B24801">
        <w:rPr>
          <w:rFonts w:cs="Times New Roman"/>
        </w:rPr>
        <w:t>, nous pouvons dégager les facteurs non exhaustifs suivants qui sont susceptibles d’aider un juge dans son appréciation de la spécificité fonctionnelle d’une unité : (i) les tâches exécutées par les employés dans l’unité et la façon dont elles diffèrent de celles exécutées par les employés dans d’autres unités</w:t>
      </w:r>
      <w:r w:rsidRPr="00B24801">
        <w:rPr>
          <w:rFonts w:eastAsia="Times New Roman" w:cs="Times New Roman"/>
          <w:lang w:eastAsia="en-CA"/>
        </w:rPr>
        <w:t xml:space="preserve"> de leur organisation</w:t>
      </w:r>
      <w:r w:rsidRPr="00B24801">
        <w:rPr>
          <w:rFonts w:cs="Times New Roman"/>
        </w:rPr>
        <w:t>; (ii) la relation et le nombre de contacts entre l’unité et les autres unités de l’organisation; (iii) le contexte administratif/opérationnel et l’emplacement de l’unité; et (iv) le rôle et la fonction de l’unité au sein de l’organisation dans son ensemble (</w:t>
      </w:r>
      <w:proofErr w:type="spellStart"/>
      <w:r w:rsidRPr="00B24801">
        <w:rPr>
          <w:rFonts w:cs="Times New Roman"/>
          <w:i/>
        </w:rPr>
        <w:t>Northern</w:t>
      </w:r>
      <w:proofErr w:type="spellEnd"/>
      <w:r w:rsidRPr="00B24801">
        <w:rPr>
          <w:rFonts w:cs="Times New Roman"/>
          <w:i/>
        </w:rPr>
        <w:t xml:space="preserve"> Telecom 1</w:t>
      </w:r>
      <w:r w:rsidRPr="00B24801">
        <w:rPr>
          <w:rFonts w:cs="Times New Roman"/>
        </w:rPr>
        <w:t xml:space="preserve">, p. 135; </w:t>
      </w:r>
      <w:proofErr w:type="spellStart"/>
      <w:r w:rsidRPr="00B24801">
        <w:rPr>
          <w:rFonts w:cs="Times New Roman"/>
          <w:i/>
        </w:rPr>
        <w:t>Northern</w:t>
      </w:r>
      <w:proofErr w:type="spellEnd"/>
      <w:r w:rsidRPr="00B24801">
        <w:rPr>
          <w:rFonts w:cs="Times New Roman"/>
          <w:i/>
        </w:rPr>
        <w:t xml:space="preserve"> Telecom 2</w:t>
      </w:r>
      <w:r w:rsidRPr="00B24801">
        <w:rPr>
          <w:rFonts w:cs="Times New Roman"/>
        </w:rPr>
        <w:t xml:space="preserve">, p. 770). </w:t>
      </w:r>
    </w:p>
    <w:p w14:paraId="2C0BCFE3" w14:textId="77777777" w:rsidR="00B751E6" w:rsidRPr="00B24801" w:rsidRDefault="00B751E6" w:rsidP="00B751E6">
      <w:pPr>
        <w:pStyle w:val="ParaNoNdepar-AltN"/>
        <w:rPr>
          <w:rFonts w:cs="Times New Roman"/>
        </w:rPr>
      </w:pPr>
      <w:r w:rsidRPr="00B24801">
        <w:rPr>
          <w:rFonts w:cs="Times New Roman"/>
        </w:rPr>
        <w:t>Ces facteurs sont à la base du raisonnement sous-jacent selon lequel les employés de la même organisation ne devraient pas être assujettis à des régimes de relations de travail différents, à moins qu’ils soient fonctionnellement distincts. La cour doit être convaincue que « les services fournis à l’entreprise fédérale sont exécutés par des employés appartenant à une unité fonctionnelle particulière qui peut se distinguer structuralement sur le plan constitutionnel du reste de l’entreprise connexe » (</w:t>
      </w:r>
      <w:r w:rsidRPr="00B24801">
        <w:rPr>
          <w:rFonts w:cs="Times New Roman"/>
          <w:i/>
        </w:rPr>
        <w:t>Tessier</w:t>
      </w:r>
      <w:r w:rsidRPr="00B24801">
        <w:rPr>
          <w:rFonts w:cs="Times New Roman"/>
        </w:rPr>
        <w:t>,</w:t>
      </w:r>
      <w:r w:rsidRPr="00B24801">
        <w:rPr>
          <w:rFonts w:cs="Times New Roman"/>
          <w:i/>
        </w:rPr>
        <w:t xml:space="preserve"> </w:t>
      </w:r>
      <w:r w:rsidRPr="00B24801">
        <w:rPr>
          <w:rFonts w:cs="Times New Roman"/>
        </w:rPr>
        <w:t xml:space="preserve">par. 49). </w:t>
      </w:r>
    </w:p>
    <w:p w14:paraId="5C32F01C" w14:textId="77777777" w:rsidR="00B751E6" w:rsidRPr="00B24801" w:rsidRDefault="00B751E6" w:rsidP="00B751E6">
      <w:pPr>
        <w:pStyle w:val="ParaNoNdepar-AltN"/>
        <w:rPr>
          <w:rFonts w:cs="Times New Roman"/>
        </w:rPr>
      </w:pPr>
      <w:r w:rsidRPr="00B24801">
        <w:rPr>
          <w:rFonts w:cs="Times New Roman"/>
        </w:rPr>
        <w:lastRenderedPageBreak/>
        <w:t>Le PGQ soutient qu’une unité ne peut être fonctionnellement distincte que lorsque la nature de ses services est différente de celle des autres unités dans l’organisation. SGS répond que même si une société offre les mêmes types de services, les employés peuvent être jugés fonctionnellement distincts s’ils travaillent dans différents secteurs, dans différents emplacements et qu’ils exécutent des tâches différentes de celles qu’exécutent d’autres employés dans l’organisation. Comme je l’expliquerai davantage plus loin, je suis d’accord avec SGS. Les précédents confirment que de telles divisions sont appropriées lorsqu’une unité peut être séparée du reste de l’organisation sans que celle-ci soit divisée artificiellement (</w:t>
      </w:r>
      <w:proofErr w:type="spellStart"/>
      <w:r w:rsidRPr="00B24801">
        <w:rPr>
          <w:rFonts w:cs="Times New Roman"/>
          <w:i/>
        </w:rPr>
        <w:t>Northern</w:t>
      </w:r>
      <w:proofErr w:type="spellEnd"/>
      <w:r w:rsidRPr="00B24801">
        <w:rPr>
          <w:rFonts w:cs="Times New Roman"/>
          <w:i/>
        </w:rPr>
        <w:t xml:space="preserve"> Telecom 2</w:t>
      </w:r>
      <w:r w:rsidRPr="00B24801">
        <w:rPr>
          <w:rFonts w:cs="Times New Roman"/>
        </w:rPr>
        <w:t>, p. 770).</w:t>
      </w:r>
    </w:p>
    <w:p w14:paraId="2932484D" w14:textId="77777777" w:rsidR="00B751E6" w:rsidRPr="00B24801" w:rsidRDefault="00B751E6" w:rsidP="00B751E6">
      <w:pPr>
        <w:pStyle w:val="ParaNoNdepar-AltN"/>
        <w:rPr>
          <w:rFonts w:cs="Times New Roman"/>
        </w:rPr>
      </w:pPr>
      <w:r w:rsidRPr="00B24801">
        <w:rPr>
          <w:rFonts w:cs="Times New Roman"/>
        </w:rPr>
        <w:t xml:space="preserve">En somme, la première étape exige de la cour qu’elle identifie l’entité — s’il s’agit d’une </w:t>
      </w:r>
      <w:bookmarkStart w:id="21" w:name="_Hlk235453196"/>
      <w:r w:rsidRPr="00B24801">
        <w:rPr>
          <w:rFonts w:cs="Times New Roman"/>
        </w:rPr>
        <w:t xml:space="preserve">organisation commerciale entière ou d’une unité au sein d’une telle organisation </w:t>
      </w:r>
      <w:bookmarkEnd w:id="21"/>
      <w:r w:rsidRPr="00B24801">
        <w:rPr>
          <w:rFonts w:cs="Times New Roman"/>
        </w:rPr>
        <w:t>— et qu’elle en détermine la nature opérationnelle. À cette étape, si l’entité proposée est une unité, la cour doit également être convaincue que l’unité est fonctionnellement distincte des autres unités dans l’organisation, aux fins d’analyse constitutionnelle.</w:t>
      </w:r>
    </w:p>
    <w:p w14:paraId="090C7B8E" w14:textId="77777777" w:rsidR="00B751E6" w:rsidRPr="00B24801" w:rsidRDefault="00B751E6" w:rsidP="00B751E6">
      <w:pPr>
        <w:pStyle w:val="Title3LevelTitre3Niveau"/>
        <w:rPr>
          <w:rFonts w:cs="Times New Roman"/>
        </w:rPr>
      </w:pPr>
      <w:r w:rsidRPr="00B24801">
        <w:rPr>
          <w:rFonts w:cs="Times New Roman"/>
        </w:rPr>
        <w:t>Deuxième étape : le critère relatif à la compétence directe</w:t>
      </w:r>
    </w:p>
    <w:p w14:paraId="3EECB84C" w14:textId="77777777" w:rsidR="00B751E6" w:rsidRPr="00B24801" w:rsidRDefault="00B751E6" w:rsidP="00B751E6">
      <w:pPr>
        <w:pStyle w:val="ParaNoNdepar-AltN"/>
        <w:rPr>
          <w:rFonts w:eastAsia="Calibri" w:cs="Times New Roman"/>
        </w:rPr>
      </w:pPr>
      <w:r w:rsidRPr="00B24801">
        <w:rPr>
          <w:rFonts w:cs="Times New Roman"/>
        </w:rPr>
        <w:t>La compétence directe ne vise que les entités exploitant directement un ouvrage ou une entreprise de nature fédérale. Elle couvre un large éventail d’employés qui soutiennent la gestion et l’exploitation d’un ouvrage ou d’une entreprise de nature fédérale (</w:t>
      </w:r>
      <w:r w:rsidRPr="00B24801">
        <w:rPr>
          <w:rFonts w:cs="Times New Roman"/>
          <w:i/>
        </w:rPr>
        <w:t>Ontario Hydro</w:t>
      </w:r>
      <w:r w:rsidRPr="00B24801">
        <w:rPr>
          <w:rFonts w:cs="Times New Roman"/>
        </w:rPr>
        <w:t xml:space="preserve">, p. 362; </w:t>
      </w:r>
      <w:r w:rsidRPr="00B24801">
        <w:rPr>
          <w:rFonts w:cs="Times New Roman"/>
          <w:i/>
        </w:rPr>
        <w:t>Renvoi relatif aux débardeurs</w:t>
      </w:r>
      <w:r w:rsidRPr="00B24801">
        <w:rPr>
          <w:rFonts w:cs="Times New Roman"/>
        </w:rPr>
        <w:t xml:space="preserve">, p. 592). </w:t>
      </w:r>
    </w:p>
    <w:p w14:paraId="1A6720EA" w14:textId="77777777" w:rsidR="00B751E6" w:rsidRPr="00B24801" w:rsidRDefault="00B751E6" w:rsidP="00B751E6">
      <w:pPr>
        <w:pStyle w:val="ParaNoNdepar-AltN"/>
        <w:rPr>
          <w:rFonts w:cs="Times New Roman"/>
        </w:rPr>
      </w:pPr>
      <w:r w:rsidRPr="00B24801">
        <w:rPr>
          <w:rFonts w:cs="Times New Roman"/>
        </w:rPr>
        <w:lastRenderedPageBreak/>
        <w:t xml:space="preserve">Dans les cas où l’entité possède, gère, contrôle ou exploite </w:t>
      </w:r>
      <w:r w:rsidRPr="00B24801">
        <w:rPr>
          <w:rFonts w:eastAsia="Calibri" w:cs="Times New Roman"/>
          <w:lang w:bidi="en-US"/>
        </w:rPr>
        <w:t xml:space="preserve">autrement </w:t>
      </w:r>
      <w:r w:rsidRPr="00B24801">
        <w:rPr>
          <w:rFonts w:cs="Times New Roman"/>
        </w:rPr>
        <w:t>des ouvrages ou des entreprises de nature à la fois fédérale et provinciale, l’analyse doit confirmer que la nature fonctionnelle essentielle de celle-ci ou ses « activités normales ou habituelles » se rapportent principalement à l’ouvrage ou l’entreprise de nature fédérale (</w:t>
      </w:r>
      <w:r w:rsidRPr="00B24801">
        <w:rPr>
          <w:rFonts w:cs="Times New Roman"/>
          <w:i/>
        </w:rPr>
        <w:t>Ontario Hydro</w:t>
      </w:r>
      <w:r w:rsidRPr="00B24801">
        <w:rPr>
          <w:rFonts w:cs="Times New Roman"/>
        </w:rPr>
        <w:t xml:space="preserve">, p. 351, le juge en chef Lamer). Si ce n’est pas le cas, la présomption d’application de la compétence provinciale ne sera pas réfutée. Par exemple, dans l’arrêt </w:t>
      </w:r>
      <w:bookmarkStart w:id="22" w:name="_Hlk214915872"/>
      <w:r w:rsidRPr="00B24801">
        <w:rPr>
          <w:rFonts w:cs="Times New Roman"/>
          <w:i/>
        </w:rPr>
        <w:t>Canadian Pacific Railway</w:t>
      </w:r>
      <w:bookmarkEnd w:id="22"/>
      <w:r w:rsidRPr="00B24801">
        <w:rPr>
          <w:rFonts w:cs="Times New Roman"/>
        </w:rPr>
        <w:t>, le Conseil privé a fait une distinction entre les employés travaillant pour un hôtel exploité par le Canadien Pacifique, une entreprise locale relevant de la compétence provinciale, et ceux travaillant pour son réseau de chemin de fer interprovincial, une entreprise fédérale. Le Conseil privé a statué que les employés des hôtels appartenant à la Compagnie de chemin de fer Canadien Pacifique pouvaient être considérés séparément de ceux qui travaillaient en fait sur ou pour les chemins de fer. Les opérations hôtelières constituaient une filiale qui était distincte et indépendante de la compagnie de chemin de fer du Canadien Pacifique et qui disposait de son propre personnel.</w:t>
      </w:r>
    </w:p>
    <w:p w14:paraId="01667AAB" w14:textId="77777777" w:rsidR="00B751E6" w:rsidRPr="00B24801" w:rsidRDefault="00B751E6" w:rsidP="00B751E6">
      <w:pPr>
        <w:pStyle w:val="ParaNoNdepar-AltN"/>
        <w:rPr>
          <w:rFonts w:eastAsia="Calibri" w:cs="Times New Roman"/>
        </w:rPr>
      </w:pPr>
      <w:r w:rsidRPr="00B24801">
        <w:rPr>
          <w:rFonts w:cs="Times New Roman"/>
        </w:rPr>
        <w:t xml:space="preserve">L’arrêt </w:t>
      </w:r>
      <w:r w:rsidRPr="00B24801">
        <w:rPr>
          <w:rFonts w:cs="Times New Roman"/>
          <w:i/>
        </w:rPr>
        <w:t>Ontario Hydro</w:t>
      </w:r>
      <w:r w:rsidRPr="00B24801">
        <w:rPr>
          <w:rFonts w:cs="Times New Roman"/>
        </w:rPr>
        <w:t xml:space="preserve"> offre un autre exemple. Dans cette affaire, notre Cour a conclu que seuls les employés qui s’occupent de la gestion ou de l’exploitation des centrales nucléaires pouvaient être assujettis à la réglementation du gouvernement fédéral, parce que leurs « activités normales ou habituelles » étaient distinctes de celles des employés qui travaillaient à la production d’électricité. Tous les autres employés demeuraient assujettis à la compétence provinciale (p. 355-357).</w:t>
      </w:r>
    </w:p>
    <w:p w14:paraId="537C9470" w14:textId="77777777" w:rsidR="00B751E6" w:rsidRPr="00B24801" w:rsidRDefault="00B751E6" w:rsidP="00B751E6">
      <w:pPr>
        <w:pStyle w:val="ParaNoNdepar-AltN"/>
        <w:rPr>
          <w:rFonts w:eastAsia="Calibri" w:cs="Times New Roman"/>
        </w:rPr>
      </w:pPr>
      <w:r w:rsidRPr="00B24801">
        <w:rPr>
          <w:rFonts w:cs="Times New Roman"/>
        </w:rPr>
        <w:lastRenderedPageBreak/>
        <w:t>La Cour d’appel en l’espèce a conclu que la compétence fédérale directe « emporte le contrôle des relations de travail des employés nécessaires et essentiels [aux] opérations [d’un ouvrage ou d’une entreprise] » (par. 85). Comme je l’expliquerai plus loin, cette conclusion confond le critère relatif à la compétence directe et celui relatif à la compétence dérivée. Notre Cour n’a appliqué la compétence directe que dans des situations où les employés étaient directement à l’emploi d’une</w:t>
      </w:r>
      <w:r w:rsidRPr="00B24801">
        <w:rPr>
          <w:rFonts w:eastAsia="Calibri" w:cs="Times New Roman"/>
          <w:lang w:bidi="en-US"/>
        </w:rPr>
        <w:t xml:space="preserve"> entité qui </w:t>
      </w:r>
      <w:bookmarkStart w:id="23" w:name="_Hlk240467225"/>
      <w:r w:rsidRPr="00B24801">
        <w:rPr>
          <w:rFonts w:eastAsia="Calibri" w:cs="Times New Roman"/>
          <w:lang w:bidi="en-US"/>
        </w:rPr>
        <w:t xml:space="preserve">possède, gère, contrôle ou exploite autrement un </w:t>
      </w:r>
      <w:r w:rsidRPr="00B24801">
        <w:rPr>
          <w:rFonts w:cs="Times New Roman"/>
        </w:rPr>
        <w:t>ouvrage ou une entreprise de nature fédérale</w:t>
      </w:r>
      <w:bookmarkEnd w:id="23"/>
      <w:r w:rsidRPr="00B24801">
        <w:rPr>
          <w:rFonts w:cs="Times New Roman"/>
        </w:rPr>
        <w:t>.</w:t>
      </w:r>
    </w:p>
    <w:p w14:paraId="6D576DDE" w14:textId="77777777" w:rsidR="00B751E6" w:rsidRPr="00B24801" w:rsidRDefault="00B751E6" w:rsidP="00B751E6">
      <w:pPr>
        <w:pStyle w:val="Title3LevelTitre3Niveau"/>
        <w:rPr>
          <w:rFonts w:eastAsia="Calibri" w:cs="Times New Roman"/>
        </w:rPr>
      </w:pPr>
      <w:r w:rsidRPr="00B24801">
        <w:rPr>
          <w:rFonts w:eastAsia="Calibri" w:cs="Times New Roman"/>
        </w:rPr>
        <w:t>Troisième étape : l</w:t>
      </w:r>
      <w:r w:rsidRPr="00B24801">
        <w:rPr>
          <w:rFonts w:cs="Times New Roman"/>
        </w:rPr>
        <w:t>e critère relatif à la compétence dérivée</w:t>
      </w:r>
    </w:p>
    <w:p w14:paraId="4E1ED981" w14:textId="77777777" w:rsidR="00B751E6" w:rsidRPr="00B24801" w:rsidRDefault="00B751E6" w:rsidP="00B751E6">
      <w:pPr>
        <w:pStyle w:val="ParaNoNdepar-AltN"/>
        <w:rPr>
          <w:rFonts w:cs="Times New Roman"/>
        </w:rPr>
      </w:pPr>
      <w:r w:rsidRPr="00B24801">
        <w:rPr>
          <w:rFonts w:cs="Times New Roman"/>
        </w:rPr>
        <w:t>Dans le cas où l’entité qui fournit des services à un ou plusieurs ouvrages ou entreprises de nature fédérale est une tierce partie, ses relations de travail peuvent néanmoins relever de la compétence fédérale suivant le principe de la compétence dérivée lorsque ses services sont</w:t>
      </w:r>
      <w:r w:rsidRPr="00B24801">
        <w:rPr>
          <w:rFonts w:eastAsiaTheme="minorHAnsi" w:cs="Times New Roman"/>
          <w:lang w:bidi="en-US"/>
        </w:rPr>
        <w:t xml:space="preserve"> </w:t>
      </w:r>
      <w:bookmarkStart w:id="24" w:name="_Hlk235449511"/>
      <w:r w:rsidRPr="00B24801">
        <w:rPr>
          <w:rFonts w:eastAsiaTheme="minorHAnsi" w:cs="Times New Roman"/>
          <w:lang w:bidi="en-US"/>
        </w:rPr>
        <w:t>« </w:t>
      </w:r>
      <w:r w:rsidRPr="00B24801">
        <w:rPr>
          <w:rFonts w:cs="Times New Roman"/>
        </w:rPr>
        <w:t>“</w:t>
      </w:r>
      <w:proofErr w:type="spellStart"/>
      <w:r w:rsidRPr="00B24801">
        <w:rPr>
          <w:rFonts w:eastAsiaTheme="minorHAnsi" w:cs="Times New Roman"/>
          <w:lang w:bidi="en-US"/>
        </w:rPr>
        <w:t>f</w:t>
      </w:r>
      <w:r w:rsidRPr="00B24801">
        <w:rPr>
          <w:rFonts w:cs="Times New Roman"/>
        </w:rPr>
        <w:t>ondamenta</w:t>
      </w:r>
      <w:proofErr w:type="spellEnd"/>
      <w:r w:rsidRPr="00B24801">
        <w:rPr>
          <w:rFonts w:cs="Times New Roman"/>
        </w:rPr>
        <w:t>[</w:t>
      </w:r>
      <w:proofErr w:type="spellStart"/>
      <w:r w:rsidRPr="00B24801">
        <w:rPr>
          <w:rFonts w:cs="Times New Roman"/>
        </w:rPr>
        <w:t>ux</w:t>
      </w:r>
      <w:proofErr w:type="spellEnd"/>
      <w:r w:rsidRPr="00B24801">
        <w:rPr>
          <w:rFonts w:cs="Times New Roman"/>
        </w:rPr>
        <w:t>]”, [. . .] “essentiel[s]” ou [. . .] “</w:t>
      </w:r>
      <w:proofErr w:type="spellStart"/>
      <w:r w:rsidRPr="00B24801">
        <w:rPr>
          <w:rFonts w:cs="Times New Roman"/>
        </w:rPr>
        <w:t>vita</w:t>
      </w:r>
      <w:proofErr w:type="spellEnd"/>
      <w:r w:rsidRPr="00B24801">
        <w:rPr>
          <w:rFonts w:cs="Times New Roman"/>
        </w:rPr>
        <w:t>[</w:t>
      </w:r>
      <w:proofErr w:type="spellStart"/>
      <w:r w:rsidRPr="00B24801">
        <w:rPr>
          <w:rFonts w:cs="Times New Roman"/>
        </w:rPr>
        <w:t>ux</w:t>
      </w:r>
      <w:proofErr w:type="spellEnd"/>
      <w:r w:rsidRPr="00B24801">
        <w:rPr>
          <w:rFonts w:cs="Times New Roman"/>
        </w:rPr>
        <w:t xml:space="preserve">]” » </w:t>
      </w:r>
      <w:bookmarkEnd w:id="24"/>
      <w:r w:rsidRPr="00B24801">
        <w:rPr>
          <w:rFonts w:cs="Times New Roman"/>
        </w:rPr>
        <w:t>pour l’activité principale de l’ouvrage ou l’entreprise de nature fédérale, et que ces services sont « importants » pour l’entité elle-même (</w:t>
      </w:r>
      <w:r w:rsidRPr="00B24801">
        <w:rPr>
          <w:rFonts w:cs="Times New Roman"/>
          <w:i/>
        </w:rPr>
        <w:t>Tessier</w:t>
      </w:r>
      <w:r w:rsidRPr="00B24801">
        <w:rPr>
          <w:rFonts w:cs="Times New Roman"/>
        </w:rPr>
        <w:t xml:space="preserve">, par. 37, citant </w:t>
      </w:r>
      <w:proofErr w:type="spellStart"/>
      <w:r w:rsidRPr="00B24801">
        <w:rPr>
          <w:rFonts w:cs="Times New Roman"/>
          <w:i/>
        </w:rPr>
        <w:t>Northern</w:t>
      </w:r>
      <w:proofErr w:type="spellEnd"/>
      <w:r w:rsidRPr="00B24801">
        <w:rPr>
          <w:rFonts w:cs="Times New Roman"/>
          <w:i/>
        </w:rPr>
        <w:t xml:space="preserve"> Telecom 1</w:t>
      </w:r>
      <w:r w:rsidRPr="00B24801">
        <w:rPr>
          <w:rFonts w:cs="Times New Roman"/>
        </w:rPr>
        <w:t>, p. 132). Autrement dit, la cour doit examiner la relation tant de la perspective de l’entité que de celle de l’ouvrage ou de l’entreprise de nature fédérale (</w:t>
      </w:r>
      <w:r w:rsidRPr="00B24801">
        <w:rPr>
          <w:rFonts w:cs="Times New Roman"/>
          <w:i/>
        </w:rPr>
        <w:t>Tessier</w:t>
      </w:r>
      <w:r w:rsidRPr="00B24801">
        <w:rPr>
          <w:rFonts w:cs="Times New Roman"/>
        </w:rPr>
        <w:t xml:space="preserve">, par. 46). </w:t>
      </w:r>
    </w:p>
    <w:p w14:paraId="108B0D72" w14:textId="77777777" w:rsidR="00B751E6" w:rsidRPr="00B24801" w:rsidRDefault="00B751E6" w:rsidP="00B751E6">
      <w:pPr>
        <w:pStyle w:val="ParaNoNdepar-AltN"/>
        <w:rPr>
          <w:rFonts w:cs="Times New Roman"/>
          <w:lang w:val="en-US"/>
        </w:rPr>
      </w:pPr>
      <w:r w:rsidRPr="00B24801">
        <w:rPr>
          <w:rFonts w:cs="Times New Roman"/>
        </w:rPr>
        <w:t xml:space="preserve">Le critère servant à déterminer si les services d’une entité sont fondamentaux, essentiels ou vitaux pour l’activité principale de l’ouvrage ou l’entreprise de nature fédérale est souple. Étant donné que des décisions différentes ont </w:t>
      </w:r>
      <w:r w:rsidRPr="00B24801">
        <w:rPr>
          <w:rFonts w:cs="Times New Roman"/>
        </w:rPr>
        <w:lastRenderedPageBreak/>
        <w:t>mis l’accent sur des facteurs différents, il n’existe « pas de critère simple et décisif » (</w:t>
      </w:r>
      <w:r w:rsidRPr="00B24801">
        <w:rPr>
          <w:rFonts w:cs="Times New Roman"/>
          <w:i/>
        </w:rPr>
        <w:t>Tessier</w:t>
      </w:r>
      <w:r w:rsidRPr="00B24801">
        <w:rPr>
          <w:rFonts w:cs="Times New Roman"/>
        </w:rPr>
        <w:t>,</w:t>
      </w:r>
      <w:r w:rsidRPr="00B24801">
        <w:rPr>
          <w:rFonts w:cs="Times New Roman"/>
          <w:i/>
        </w:rPr>
        <w:t xml:space="preserve"> </w:t>
      </w:r>
      <w:r w:rsidRPr="00B24801">
        <w:rPr>
          <w:rFonts w:cs="Times New Roman"/>
        </w:rPr>
        <w:t>par. 45). Ces facteurs incluent (</w:t>
      </w:r>
      <w:proofErr w:type="spellStart"/>
      <w:r w:rsidRPr="00B24801">
        <w:rPr>
          <w:rFonts w:cs="Times New Roman"/>
          <w:i/>
        </w:rPr>
        <w:t>Northern</w:t>
      </w:r>
      <w:proofErr w:type="spellEnd"/>
      <w:r w:rsidRPr="00B24801">
        <w:rPr>
          <w:rFonts w:cs="Times New Roman"/>
          <w:i/>
        </w:rPr>
        <w:t xml:space="preserve"> Telecom 1</w:t>
      </w:r>
      <w:r w:rsidRPr="00B24801">
        <w:rPr>
          <w:rFonts w:cs="Times New Roman"/>
        </w:rPr>
        <w:t>, p. 135;</w:t>
      </w:r>
      <w:r w:rsidRPr="00B24801">
        <w:rPr>
          <w:rFonts w:cs="Times New Roman"/>
          <w:i/>
        </w:rPr>
        <w:t xml:space="preserve"> </w:t>
      </w:r>
      <w:proofErr w:type="spellStart"/>
      <w:r w:rsidRPr="00B24801">
        <w:rPr>
          <w:rFonts w:cs="Times New Roman"/>
          <w:i/>
        </w:rPr>
        <w:t>Northern</w:t>
      </w:r>
      <w:proofErr w:type="spellEnd"/>
      <w:r w:rsidRPr="00B24801">
        <w:rPr>
          <w:rFonts w:cs="Times New Roman"/>
          <w:i/>
        </w:rPr>
        <w:t xml:space="preserve"> Telecom 2</w:t>
      </w:r>
      <w:r w:rsidRPr="00B24801">
        <w:rPr>
          <w:rFonts w:cs="Times New Roman"/>
        </w:rPr>
        <w:t>, p. 755-756)</w:t>
      </w:r>
      <w:r w:rsidRPr="00B24801">
        <w:rPr>
          <w:rFonts w:cs="Times New Roman"/>
          <w:lang w:val="en-US"/>
        </w:rPr>
        <w:t> :</w:t>
      </w:r>
    </w:p>
    <w:p w14:paraId="418F9140" w14:textId="77777777" w:rsidR="00B751E6" w:rsidRPr="00B24801" w:rsidRDefault="00B751E6" w:rsidP="00B751E6">
      <w:pPr>
        <w:pStyle w:val="Citation-AltC"/>
        <w:numPr>
          <w:ilvl w:val="0"/>
          <w:numId w:val="4"/>
        </w:numPr>
        <w:spacing w:after="480" w:line="480" w:lineRule="auto"/>
        <w:ind w:left="1701" w:hanging="567"/>
        <w:contextualSpacing w:val="0"/>
      </w:pPr>
      <w:r w:rsidRPr="00B24801">
        <w:t>L’existence d’un lien matériel et opérationnel étroit entre l’entité et l’entreprise fédérale ou lorsque leur travail constitue une opération conjointe.</w:t>
      </w:r>
    </w:p>
    <w:p w14:paraId="3BC41EFD" w14:textId="77777777" w:rsidR="00B751E6" w:rsidRPr="00B24801" w:rsidRDefault="00B751E6" w:rsidP="00B751E6">
      <w:pPr>
        <w:pStyle w:val="Citation-AltC"/>
        <w:numPr>
          <w:ilvl w:val="0"/>
          <w:numId w:val="4"/>
        </w:numPr>
        <w:spacing w:after="480" w:line="480" w:lineRule="auto"/>
        <w:ind w:left="1701" w:hanging="567"/>
        <w:contextualSpacing w:val="0"/>
      </w:pPr>
      <w:r w:rsidRPr="00B24801">
        <w:t xml:space="preserve">L’existence d’un lien </w:t>
      </w:r>
      <w:proofErr w:type="spellStart"/>
      <w:r w:rsidRPr="00B24801">
        <w:t>intersociétés</w:t>
      </w:r>
      <w:proofErr w:type="spellEnd"/>
      <w:r w:rsidRPr="00B24801">
        <w:t xml:space="preserve"> entre l’entité et l’entreprise fédérale.</w:t>
      </w:r>
    </w:p>
    <w:p w14:paraId="6DE5A879" w14:textId="77777777" w:rsidR="00B751E6" w:rsidRPr="00B24801" w:rsidRDefault="00B751E6" w:rsidP="00B751E6">
      <w:pPr>
        <w:pStyle w:val="Citation-AltC"/>
        <w:numPr>
          <w:ilvl w:val="0"/>
          <w:numId w:val="4"/>
        </w:numPr>
        <w:spacing w:after="480" w:line="480" w:lineRule="auto"/>
        <w:ind w:left="1701" w:hanging="567"/>
        <w:contextualSpacing w:val="0"/>
      </w:pPr>
      <w:r w:rsidRPr="00B24801">
        <w:t>L’importance du travail accompli par les employés de l’entité pour l’entreprise fédérale.</w:t>
      </w:r>
    </w:p>
    <w:p w14:paraId="1E7D1E9F" w14:textId="77777777" w:rsidR="00B751E6" w:rsidRPr="00B24801" w:rsidRDefault="00B751E6" w:rsidP="00B751E6">
      <w:pPr>
        <w:pStyle w:val="ParaNoNdepar-AltN"/>
        <w:rPr>
          <w:rFonts w:cs="Times New Roman"/>
        </w:rPr>
      </w:pPr>
      <w:r w:rsidRPr="00B24801">
        <w:rPr>
          <w:rFonts w:eastAsia="Calibri" w:cs="Times New Roman"/>
        </w:rPr>
        <w:t xml:space="preserve">L’objectif est d’établir </w:t>
      </w:r>
      <w:r w:rsidRPr="00B24801">
        <w:rPr>
          <w:rFonts w:cs="Times New Roman"/>
        </w:rPr>
        <w:t>un lien entre l’entité et un ouvrage ou une entreprise de nature fédérale qui soit [</w:t>
      </w:r>
      <w:r w:rsidRPr="00B24801">
        <w:rPr>
          <w:rFonts w:cs="Times New Roman"/>
          <w:smallCaps/>
        </w:rPr>
        <w:t>traduction</w:t>
      </w:r>
      <w:r w:rsidRPr="00B24801">
        <w:rPr>
          <w:rFonts w:cs="Times New Roman"/>
        </w:rPr>
        <w:t>] « étroit », « vital », « véritablement accessoire » ou « nécessairement accessoire » (</w:t>
      </w:r>
      <w:bookmarkStart w:id="25" w:name="_Hlk240538436"/>
      <w:r w:rsidRPr="00B24801">
        <w:rPr>
          <w:rFonts w:cs="Times New Roman"/>
          <w:i/>
        </w:rPr>
        <w:t>Renvoi relatif aux débardeurs</w:t>
      </w:r>
      <w:bookmarkEnd w:id="25"/>
      <w:r w:rsidRPr="00B24801">
        <w:rPr>
          <w:rFonts w:cs="Times New Roman"/>
        </w:rPr>
        <w:t>,</w:t>
      </w:r>
      <w:r w:rsidRPr="00B24801">
        <w:rPr>
          <w:rFonts w:cs="Times New Roman"/>
          <w:i/>
        </w:rPr>
        <w:t xml:space="preserve"> </w:t>
      </w:r>
      <w:r w:rsidRPr="00B24801">
        <w:rPr>
          <w:rFonts w:cs="Times New Roman"/>
        </w:rPr>
        <w:t xml:space="preserve">p. 535, 544, 548, 582 et 592; </w:t>
      </w:r>
      <w:proofErr w:type="spellStart"/>
      <w:r w:rsidRPr="00B24801">
        <w:rPr>
          <w:rFonts w:cs="Times New Roman"/>
          <w:i/>
        </w:rPr>
        <w:t>Northern</w:t>
      </w:r>
      <w:proofErr w:type="spellEnd"/>
      <w:r w:rsidRPr="00B24801">
        <w:rPr>
          <w:rFonts w:cs="Times New Roman"/>
          <w:i/>
        </w:rPr>
        <w:t xml:space="preserve"> Telecom 1</w:t>
      </w:r>
      <w:r w:rsidRPr="00B24801">
        <w:rPr>
          <w:rFonts w:cs="Times New Roman"/>
        </w:rPr>
        <w:t xml:space="preserve">, p. 132; voir aussi </w:t>
      </w:r>
      <w:r w:rsidRPr="00B24801">
        <w:rPr>
          <w:rFonts w:cs="Times New Roman"/>
          <w:i/>
        </w:rPr>
        <w:t>Union des facteurs du Canada c. Syndicat des postiers du Canada</w:t>
      </w:r>
      <w:r w:rsidRPr="00B24801">
        <w:rPr>
          <w:rFonts w:cs="Times New Roman"/>
        </w:rPr>
        <w:t xml:space="preserve">, [1975] 1 R.C.S. 178, p. 185-186). Dans l’arrêt </w:t>
      </w:r>
      <w:r w:rsidRPr="00B24801">
        <w:rPr>
          <w:rFonts w:cs="Times New Roman"/>
          <w:i/>
        </w:rPr>
        <w:t>Tessier</w:t>
      </w:r>
      <w:r w:rsidRPr="00B24801">
        <w:rPr>
          <w:rFonts w:cs="Times New Roman"/>
        </w:rPr>
        <w:t>, la juge Abella a distillé de ces affaires un simple point à retenir : l’intégration, pour les besoins de la compétence dérivée, exige qu’une entreprise fédérale dépende des fonctions d’une entité en particulier, de sorte que l’entreprise fédérale ne puisse exercer ses activités sans elle (par. 32). Cela exige une [</w:t>
      </w:r>
      <w:r w:rsidRPr="00B24801">
        <w:rPr>
          <w:rFonts w:cs="Times New Roman"/>
          <w:smallCaps/>
        </w:rPr>
        <w:t>traduction</w:t>
      </w:r>
      <w:r w:rsidRPr="00B24801">
        <w:rPr>
          <w:rFonts w:cs="Times New Roman"/>
        </w:rPr>
        <w:t xml:space="preserve">] « relation permanente, ou à tout le moins continue », pour faire en sorte que la </w:t>
      </w:r>
      <w:r w:rsidRPr="00B24801">
        <w:rPr>
          <w:rFonts w:cs="Times New Roman"/>
        </w:rPr>
        <w:lastRenderedPageBreak/>
        <w:t>Constitution soit toujours appliquée « de façon continue et régulière » (Hogg et Wright, § 22:9). Une relation exceptionnelle ou temporaire ne suffira pas.</w:t>
      </w:r>
    </w:p>
    <w:p w14:paraId="410C8C8F" w14:textId="77777777" w:rsidR="00B751E6" w:rsidRPr="00B24801" w:rsidRDefault="00B751E6" w:rsidP="00B751E6">
      <w:pPr>
        <w:pStyle w:val="ParaNoNdepar-AltN"/>
        <w:rPr>
          <w:rFonts w:eastAsia="Calibri" w:cs="Times New Roman"/>
        </w:rPr>
      </w:pPr>
      <w:r w:rsidRPr="00B24801">
        <w:rPr>
          <w:rFonts w:cs="Times New Roman"/>
        </w:rPr>
        <w:t>La cour doit également examiner, du point de vue de l’entité, l’importance de l’ouvrage pour l’entité elle-même (</w:t>
      </w:r>
      <w:r w:rsidRPr="00B24801">
        <w:rPr>
          <w:rFonts w:cs="Times New Roman"/>
          <w:i/>
        </w:rPr>
        <w:t>Tessier</w:t>
      </w:r>
      <w:r w:rsidRPr="00B24801">
        <w:rPr>
          <w:rFonts w:cs="Times New Roman"/>
        </w:rPr>
        <w:t>, par. 46). La question est de savoir si « les services fournis à [un ou plusieurs ouvrages ou] entreprise[s] [de nature] fédérale constituent la totalité ou la majeure partie des activités de l’[entité] connexe » (par. 48). Pour satisfaire à cette partie du critère, le travail de l’entité doit principalement être effectué pour le compte d’un ou plusieurs ouvrages ou entreprises</w:t>
      </w:r>
      <w:bookmarkStart w:id="26" w:name="_Hlk240537656"/>
      <w:r w:rsidRPr="00B24801">
        <w:rPr>
          <w:rFonts w:cs="Times New Roman"/>
        </w:rPr>
        <w:t xml:space="preserve"> de nature fédérale</w:t>
      </w:r>
      <w:bookmarkEnd w:id="26"/>
      <w:r w:rsidRPr="00B24801">
        <w:rPr>
          <w:rFonts w:cs="Times New Roman"/>
        </w:rPr>
        <w:t>. Autrement dit, ce travail doit constituer la « principale et plus importante partie » de son entreprise (</w:t>
      </w:r>
      <w:r w:rsidRPr="00B24801">
        <w:rPr>
          <w:rFonts w:cs="Times New Roman"/>
          <w:i/>
        </w:rPr>
        <w:t>Tessier</w:t>
      </w:r>
      <w:r w:rsidRPr="00B24801">
        <w:rPr>
          <w:rFonts w:cs="Times New Roman"/>
        </w:rPr>
        <w:t xml:space="preserve">, par. 41-42; </w:t>
      </w:r>
      <w:r w:rsidRPr="00B24801">
        <w:rPr>
          <w:rFonts w:cs="Times New Roman"/>
          <w:i/>
        </w:rPr>
        <w:t>Union des facteurs du Canada</w:t>
      </w:r>
      <w:r w:rsidRPr="00B24801">
        <w:rPr>
          <w:rFonts w:cs="Times New Roman"/>
        </w:rPr>
        <w:t xml:space="preserve">, p. 188). Certaines décisions indiquent que cette exigence pourrait être remplie s’il est établi que l’entité effectue un pourcentage élevé de son travail pour le compte d’un ouvrage ou d’une entreprise de nature fédérale (voir </w:t>
      </w:r>
      <w:proofErr w:type="spellStart"/>
      <w:r w:rsidRPr="00B24801">
        <w:rPr>
          <w:rFonts w:cs="Times New Roman"/>
          <w:i/>
          <w:iCs/>
        </w:rPr>
        <w:t>Northern</w:t>
      </w:r>
      <w:proofErr w:type="spellEnd"/>
      <w:r w:rsidRPr="00B24801">
        <w:rPr>
          <w:rFonts w:cs="Times New Roman"/>
          <w:i/>
          <w:iCs/>
        </w:rPr>
        <w:t xml:space="preserve"> Telecom 2</w:t>
      </w:r>
      <w:r w:rsidRPr="00B24801">
        <w:rPr>
          <w:rFonts w:cs="Times New Roman"/>
          <w:iCs/>
        </w:rPr>
        <w:t xml:space="preserve"> </w:t>
      </w:r>
      <w:r w:rsidRPr="00B24801">
        <w:rPr>
          <w:rFonts w:cs="Times New Roman"/>
        </w:rPr>
        <w:t>(suggérant 80 p. 100 par exemple);</w:t>
      </w:r>
      <w:r w:rsidRPr="00B24801">
        <w:rPr>
          <w:rFonts w:cs="Times New Roman"/>
          <w:i/>
          <w:iCs/>
        </w:rPr>
        <w:t xml:space="preserve"> </w:t>
      </w:r>
      <w:r w:rsidRPr="00B24801">
        <w:rPr>
          <w:rFonts w:cs="Times New Roman"/>
          <w:i/>
        </w:rPr>
        <w:t>Renvoi relatif aux débardeurs</w:t>
      </w:r>
      <w:r w:rsidRPr="00B24801">
        <w:rPr>
          <w:rFonts w:cs="Times New Roman"/>
          <w:iCs/>
        </w:rPr>
        <w:t>;</w:t>
      </w:r>
      <w:r w:rsidRPr="00B24801">
        <w:rPr>
          <w:rFonts w:cs="Times New Roman"/>
          <w:i/>
          <w:iCs/>
        </w:rPr>
        <w:t xml:space="preserve"> Syndicat des postiers du Canada</w:t>
      </w:r>
      <w:r w:rsidRPr="00B24801">
        <w:rPr>
          <w:rFonts w:cs="Times New Roman"/>
        </w:rPr>
        <w:t>). D’autres décisions mettent l’accent sur la souplesse et ne mentionnent pas expressément de pourcentage (</w:t>
      </w:r>
      <w:r w:rsidRPr="00B24801">
        <w:rPr>
          <w:rFonts w:cs="Times New Roman"/>
          <w:i/>
          <w:iCs/>
        </w:rPr>
        <w:t>Tessier</w:t>
      </w:r>
      <w:r w:rsidRPr="00B24801">
        <w:rPr>
          <w:rFonts w:cs="Times New Roman"/>
          <w:iCs/>
        </w:rPr>
        <w:t>,</w:t>
      </w:r>
      <w:r w:rsidRPr="00B24801">
        <w:rPr>
          <w:rFonts w:cs="Times New Roman"/>
        </w:rPr>
        <w:t xml:space="preserve"> par. 45;</w:t>
      </w:r>
      <w:r w:rsidRPr="00B24801">
        <w:rPr>
          <w:rFonts w:cs="Times New Roman"/>
          <w:i/>
          <w:iCs/>
        </w:rPr>
        <w:t xml:space="preserve"> Travailleurs unis des transports c. Central Western Railway Corp.</w:t>
      </w:r>
      <w:r w:rsidRPr="00B24801">
        <w:rPr>
          <w:rFonts w:cs="Times New Roman"/>
        </w:rPr>
        <w:t xml:space="preserve">, [1990] 3 R.C.S. 1112, p. 1139-1140; </w:t>
      </w:r>
      <w:proofErr w:type="spellStart"/>
      <w:r w:rsidRPr="00B24801">
        <w:rPr>
          <w:rFonts w:eastAsia="Times New Roman" w:cs="Times New Roman"/>
          <w:i/>
          <w:iCs/>
        </w:rPr>
        <w:t>Westcoast</w:t>
      </w:r>
      <w:proofErr w:type="spellEnd"/>
      <w:r w:rsidRPr="00B24801">
        <w:rPr>
          <w:rFonts w:eastAsia="Times New Roman" w:cs="Times New Roman"/>
          <w:i/>
          <w:iCs/>
        </w:rPr>
        <w:t xml:space="preserve"> Energy</w:t>
      </w:r>
      <w:r w:rsidRPr="00B24801">
        <w:rPr>
          <w:rFonts w:eastAsia="Times New Roman" w:cs="Times New Roman"/>
          <w:iCs/>
        </w:rPr>
        <w:t>,</w:t>
      </w:r>
      <w:r w:rsidRPr="00B24801">
        <w:rPr>
          <w:rFonts w:eastAsia="Times New Roman" w:cs="Times New Roman"/>
        </w:rPr>
        <w:t xml:space="preserve"> par. 128</w:t>
      </w:r>
      <w:r w:rsidRPr="00B24801">
        <w:rPr>
          <w:rFonts w:cs="Times New Roman"/>
        </w:rPr>
        <w:t xml:space="preserve">). Peu importe la façon dont l’importance est établie, il est clair qu’il s’agit d’un seuil élevé. Comme l’a souligné la juge Abella dans l’arrêt </w:t>
      </w:r>
      <w:r w:rsidRPr="00B24801">
        <w:rPr>
          <w:rFonts w:cs="Times New Roman"/>
          <w:i/>
        </w:rPr>
        <w:t>Tessier</w:t>
      </w:r>
      <w:r w:rsidRPr="00B24801">
        <w:rPr>
          <w:rFonts w:cs="Times New Roman"/>
        </w:rPr>
        <w:t xml:space="preserve">, même si le travail de ces employés est essentiel au fonctionnement d’un ou plusieurs ouvrages ou entreprises de nature fédérale, « cela n’a pas pour effet de rendre fédérale une entreprise autrement locale si ce travail ne représente qu’une partie négligeable de l’emploi du temps des </w:t>
      </w:r>
      <w:r w:rsidRPr="00B24801">
        <w:rPr>
          <w:rFonts w:cs="Times New Roman"/>
        </w:rPr>
        <w:lastRenderedPageBreak/>
        <w:t xml:space="preserve">employés ou qu’un aspect mineur de la nature essentielle constante de l’exploitation » (par. 50). </w:t>
      </w:r>
    </w:p>
    <w:p w14:paraId="197918C7" w14:textId="77777777" w:rsidR="00B751E6" w:rsidRPr="00B24801" w:rsidRDefault="00B751E6" w:rsidP="00B751E6">
      <w:pPr>
        <w:pStyle w:val="ParaNoNdepar-AltN"/>
        <w:rPr>
          <w:rFonts w:eastAsia="Calibri" w:cs="Times New Roman"/>
        </w:rPr>
      </w:pPr>
      <w:r w:rsidRPr="00B24801">
        <w:rPr>
          <w:rFonts w:cs="Times New Roman"/>
        </w:rPr>
        <w:t>Il est crucial, à cette étape, d’évaluer l’importance afin d’éviter qu’une entité qui œuvre également dans le cadre d’entreprises provinciales soit qualifiée, à tort, comme relevant de la compétence fédérale.</w:t>
      </w:r>
    </w:p>
    <w:p w14:paraId="55B84111" w14:textId="77777777" w:rsidR="00B751E6" w:rsidRPr="00B24801" w:rsidRDefault="00B751E6" w:rsidP="00B751E6">
      <w:pPr>
        <w:pStyle w:val="ParaNoNdepar-AltN"/>
        <w:rPr>
          <w:rFonts w:eastAsia="Times New Roman" w:cs="Times New Roman"/>
        </w:rPr>
      </w:pPr>
      <w:r w:rsidRPr="00B24801">
        <w:rPr>
          <w:rFonts w:cs="Times New Roman"/>
        </w:rPr>
        <w:t xml:space="preserve">Les parties ne s’entendent pas sur la question de savoir si, pour les besoins de la compétence dérivée, une entité doit être intégrée à un ouvrage ou une entreprise unique. Comme je l’expliquerai plus loin, rien dans la jurisprudence de notre Cour n’appuierait cette exigence. L’analyse peut porter sur un ouvrage ou une entreprise de nature fédérale en particulier, ou sur un groupe d’ouvrages ou d’entreprises de cette nature, tant que la preuve est suffisante pour établir l’intégration. Dans la mesure où certaines décisions d’instances inférieures, comme </w:t>
      </w:r>
      <w:proofErr w:type="spellStart"/>
      <w:r w:rsidRPr="00B24801">
        <w:rPr>
          <w:rFonts w:cs="Times New Roman"/>
          <w:i/>
          <w:iCs/>
        </w:rPr>
        <w:t>Madysta</w:t>
      </w:r>
      <w:proofErr w:type="spellEnd"/>
      <w:r w:rsidRPr="00B24801">
        <w:rPr>
          <w:rFonts w:cs="Times New Roman"/>
          <w:i/>
          <w:iCs/>
        </w:rPr>
        <w:t xml:space="preserve"> Télécom </w:t>
      </w:r>
      <w:proofErr w:type="spellStart"/>
      <w:r w:rsidRPr="00B24801">
        <w:rPr>
          <w:rFonts w:cs="Times New Roman"/>
          <w:i/>
          <w:iCs/>
        </w:rPr>
        <w:t>ltée</w:t>
      </w:r>
      <w:proofErr w:type="spellEnd"/>
      <w:r w:rsidRPr="00B24801">
        <w:rPr>
          <w:rFonts w:cs="Times New Roman"/>
          <w:i/>
          <w:iCs/>
        </w:rPr>
        <w:t xml:space="preserve"> c. Commission des normes, de l’équité, de la santé et de la sécurité du travail</w:t>
      </w:r>
      <w:r w:rsidRPr="00B24801">
        <w:rPr>
          <w:rFonts w:cs="Times New Roman"/>
          <w:iCs/>
        </w:rPr>
        <w:t>,</w:t>
      </w:r>
      <w:r w:rsidRPr="00B24801">
        <w:rPr>
          <w:rFonts w:cs="Times New Roman"/>
          <w:i/>
          <w:iCs/>
        </w:rPr>
        <w:t xml:space="preserve"> </w:t>
      </w:r>
      <w:r w:rsidRPr="00B24801">
        <w:rPr>
          <w:rFonts w:cs="Times New Roman"/>
          <w:iCs/>
        </w:rPr>
        <w:t>2020 QCCA 183</w:t>
      </w:r>
      <w:r w:rsidRPr="00B24801">
        <w:rPr>
          <w:rFonts w:cs="Times New Roman"/>
        </w:rPr>
        <w:t>, indiquent le contraire, elles sont erronées en droit.</w:t>
      </w:r>
    </w:p>
    <w:p w14:paraId="18A4FA8D" w14:textId="77777777" w:rsidR="00B751E6" w:rsidRPr="00B24801" w:rsidRDefault="00B751E6" w:rsidP="00B751E6">
      <w:pPr>
        <w:pStyle w:val="ParaNoNdepar-AltN"/>
        <w:rPr>
          <w:rFonts w:eastAsia="Calibri" w:cs="Times New Roman"/>
        </w:rPr>
      </w:pPr>
      <w:r w:rsidRPr="00B24801">
        <w:rPr>
          <w:rFonts w:cs="Times New Roman"/>
        </w:rPr>
        <w:t>En somme, le cadre servant à établir la compétence fédérale peut être résumé de la façon suivante :</w:t>
      </w:r>
    </w:p>
    <w:p w14:paraId="0C2CB0BE" w14:textId="77777777" w:rsidR="00B751E6" w:rsidRPr="00B24801" w:rsidRDefault="00B751E6" w:rsidP="00B751E6">
      <w:pPr>
        <w:pStyle w:val="Citation-AltC"/>
        <w:numPr>
          <w:ilvl w:val="0"/>
          <w:numId w:val="13"/>
        </w:numPr>
        <w:spacing w:after="240" w:line="480" w:lineRule="auto"/>
        <w:ind w:left="1560" w:hanging="426"/>
        <w:contextualSpacing w:val="0"/>
        <w:rPr>
          <w:rFonts w:eastAsia="Calibri"/>
        </w:rPr>
      </w:pPr>
      <w:r w:rsidRPr="00B24801">
        <w:rPr>
          <w:rFonts w:eastAsia="Calibri"/>
        </w:rPr>
        <w:t>Identifier l’entité et sa nature fonctionnelle essentielle.</w:t>
      </w:r>
    </w:p>
    <w:p w14:paraId="2985215F" w14:textId="77777777" w:rsidR="00B751E6" w:rsidRPr="00B24801" w:rsidRDefault="00B751E6" w:rsidP="00B751E6">
      <w:pPr>
        <w:pStyle w:val="Citation-AltC"/>
        <w:numPr>
          <w:ilvl w:val="0"/>
          <w:numId w:val="17"/>
        </w:numPr>
        <w:spacing w:after="240" w:line="480" w:lineRule="auto"/>
        <w:ind w:left="1985"/>
        <w:contextualSpacing w:val="0"/>
      </w:pPr>
      <w:r w:rsidRPr="00B24801">
        <w:t>Déterminer si l’entité est</w:t>
      </w:r>
      <w:r w:rsidRPr="00B24801">
        <w:rPr>
          <w:rFonts w:eastAsiaTheme="minorHAnsi"/>
          <w:lang w:bidi="en-US"/>
        </w:rPr>
        <w:t xml:space="preserve"> une </w:t>
      </w:r>
      <w:r w:rsidRPr="00B24801">
        <w:t>organisation commerciale entière ou une unité au sein d’une telle organisation.</w:t>
      </w:r>
    </w:p>
    <w:p w14:paraId="735E03C3" w14:textId="77777777" w:rsidR="00B751E6" w:rsidRPr="00B24801" w:rsidRDefault="00B751E6" w:rsidP="00B751E6">
      <w:pPr>
        <w:pStyle w:val="Citation-AltC"/>
        <w:numPr>
          <w:ilvl w:val="0"/>
          <w:numId w:val="17"/>
        </w:numPr>
        <w:spacing w:after="240" w:line="480" w:lineRule="auto"/>
        <w:ind w:left="1985"/>
        <w:contextualSpacing w:val="0"/>
      </w:pPr>
      <w:r w:rsidRPr="00B24801">
        <w:lastRenderedPageBreak/>
        <w:t xml:space="preserve">Déterminer la nature du travail de l’entité en examinant son caractère en tant qu’entreprise active, plutôt que tout aspect secondaire ou exceptionnel. </w:t>
      </w:r>
    </w:p>
    <w:p w14:paraId="78C35044" w14:textId="77777777" w:rsidR="00B751E6" w:rsidRPr="00B24801" w:rsidRDefault="00B751E6" w:rsidP="00B751E6">
      <w:pPr>
        <w:pStyle w:val="Citation-AltC"/>
        <w:numPr>
          <w:ilvl w:val="0"/>
          <w:numId w:val="17"/>
        </w:numPr>
        <w:spacing w:after="240" w:line="480" w:lineRule="auto"/>
        <w:ind w:left="1985"/>
        <w:contextualSpacing w:val="0"/>
      </w:pPr>
      <w:r w:rsidRPr="00B24801">
        <w:t>Si l’entité est une unité, elle doit être fonctionnellement distincte du reste de l’organisation.</w:t>
      </w:r>
    </w:p>
    <w:p w14:paraId="77EB276D" w14:textId="77777777" w:rsidR="00B751E6" w:rsidRPr="00B24801" w:rsidRDefault="00B751E6" w:rsidP="00B751E6">
      <w:pPr>
        <w:pStyle w:val="Citation-AltC"/>
        <w:numPr>
          <w:ilvl w:val="0"/>
          <w:numId w:val="13"/>
        </w:numPr>
        <w:spacing w:after="240" w:line="480" w:lineRule="auto"/>
        <w:ind w:left="1560" w:hanging="426"/>
        <w:contextualSpacing w:val="0"/>
      </w:pPr>
      <w:r w:rsidRPr="00B24801">
        <w:rPr>
          <w:rFonts w:eastAsia="Calibri"/>
        </w:rPr>
        <w:t>Déterminer</w:t>
      </w:r>
      <w:r w:rsidRPr="00B24801">
        <w:t xml:space="preserve"> si la compétence directe s’applique.</w:t>
      </w:r>
      <w:r w:rsidRPr="00B24801">
        <w:rPr>
          <w:i/>
        </w:rPr>
        <w:t xml:space="preserve"> </w:t>
      </w:r>
    </w:p>
    <w:p w14:paraId="13548200" w14:textId="77777777" w:rsidR="00B751E6" w:rsidRPr="00B24801" w:rsidRDefault="00B751E6" w:rsidP="00B751E6">
      <w:pPr>
        <w:pStyle w:val="Citation-AltC"/>
        <w:numPr>
          <w:ilvl w:val="0"/>
          <w:numId w:val="20"/>
        </w:numPr>
        <w:spacing w:after="240" w:line="480" w:lineRule="auto"/>
        <w:ind w:left="1985"/>
        <w:contextualSpacing w:val="0"/>
      </w:pPr>
      <w:r w:rsidRPr="00B24801">
        <w:t xml:space="preserve">L’entité doit posséder, contrôler, gérer ou exploiter autrement un ouvrage ou une entreprise de nature fédérale. </w:t>
      </w:r>
    </w:p>
    <w:p w14:paraId="2C0C0827" w14:textId="77777777" w:rsidR="00B751E6" w:rsidRPr="00B24801" w:rsidRDefault="00B751E6" w:rsidP="00B751E6">
      <w:pPr>
        <w:pStyle w:val="Citation-AltC"/>
        <w:numPr>
          <w:ilvl w:val="0"/>
          <w:numId w:val="13"/>
        </w:numPr>
        <w:spacing w:after="240" w:line="480" w:lineRule="auto"/>
        <w:ind w:left="1560" w:hanging="426"/>
        <w:contextualSpacing w:val="0"/>
      </w:pPr>
      <w:r w:rsidRPr="00B24801">
        <w:rPr>
          <w:rFonts w:eastAsia="Calibri"/>
        </w:rPr>
        <w:t>Déterminer</w:t>
      </w:r>
      <w:r w:rsidRPr="00B24801">
        <w:t xml:space="preserve"> si la compétence dérivée s’applique. </w:t>
      </w:r>
    </w:p>
    <w:p w14:paraId="64A184F3" w14:textId="77777777" w:rsidR="00B751E6" w:rsidRPr="00B24801" w:rsidRDefault="00B751E6" w:rsidP="00B751E6">
      <w:pPr>
        <w:pStyle w:val="Citation-AltC"/>
        <w:numPr>
          <w:ilvl w:val="0"/>
          <w:numId w:val="19"/>
        </w:numPr>
        <w:spacing w:after="240" w:line="480" w:lineRule="auto"/>
        <w:ind w:left="1985"/>
        <w:contextualSpacing w:val="0"/>
      </w:pPr>
      <w:r w:rsidRPr="00B24801">
        <w:t>Les services de l’entité doivent être fondamentaux, essentiels ou vitaux pour l’activité principale d’un ou plusieurs ouvrages ou entreprises de nature fédérale.</w:t>
      </w:r>
    </w:p>
    <w:p w14:paraId="237654BE" w14:textId="77777777" w:rsidR="00B751E6" w:rsidRPr="00B24801" w:rsidRDefault="00B751E6" w:rsidP="00B751E6">
      <w:pPr>
        <w:pStyle w:val="Citation-AltC"/>
        <w:numPr>
          <w:ilvl w:val="0"/>
          <w:numId w:val="19"/>
        </w:numPr>
        <w:spacing w:after="480" w:line="480" w:lineRule="auto"/>
        <w:ind w:left="1984" w:hanging="357"/>
        <w:contextualSpacing w:val="0"/>
      </w:pPr>
      <w:r w:rsidRPr="00B24801">
        <w:t>Ces services doivent être importants pour l’entité elle-même.</w:t>
      </w:r>
    </w:p>
    <w:p w14:paraId="0D9DB72C" w14:textId="77777777" w:rsidR="00B751E6" w:rsidRPr="00B24801" w:rsidRDefault="00B751E6" w:rsidP="00B751E6">
      <w:pPr>
        <w:pStyle w:val="ParaNoNdepar-AltN"/>
        <w:spacing w:before="0"/>
        <w:rPr>
          <w:rFonts w:eastAsia="Times New Roman" w:cs="Times New Roman"/>
        </w:rPr>
      </w:pPr>
      <w:r w:rsidRPr="00B24801">
        <w:rPr>
          <w:rFonts w:cs="Times New Roman"/>
        </w:rPr>
        <w:t xml:space="preserve">Je vais maintenant aborder l’application de ce cadre à la présente affaire. </w:t>
      </w:r>
    </w:p>
    <w:p w14:paraId="7688C4A9" w14:textId="77777777" w:rsidR="00B751E6" w:rsidRPr="00B24801" w:rsidRDefault="00B751E6" w:rsidP="00B751E6">
      <w:pPr>
        <w:pStyle w:val="Title2LevelTitre2Niveau"/>
        <w:rPr>
          <w:rFonts w:cs="Times New Roman"/>
        </w:rPr>
      </w:pPr>
      <w:r w:rsidRPr="00B24801">
        <w:rPr>
          <w:rFonts w:cs="Times New Roman"/>
        </w:rPr>
        <w:t>Application</w:t>
      </w:r>
    </w:p>
    <w:p w14:paraId="77ED71A4" w14:textId="77777777" w:rsidR="00B751E6" w:rsidRPr="00B24801" w:rsidRDefault="00B751E6" w:rsidP="00B751E6">
      <w:pPr>
        <w:pStyle w:val="Title3LevelTitre3Niveau"/>
        <w:rPr>
          <w:rFonts w:cs="Times New Roman"/>
        </w:rPr>
      </w:pPr>
      <w:r w:rsidRPr="00B24801">
        <w:rPr>
          <w:rFonts w:cs="Times New Roman"/>
        </w:rPr>
        <w:t>La succursale de Montréal et sa nature fonctionnelle essentielle</w:t>
      </w:r>
    </w:p>
    <w:p w14:paraId="6B2D904B" w14:textId="77777777" w:rsidR="00B751E6" w:rsidRPr="00B24801" w:rsidRDefault="00B751E6" w:rsidP="00B751E6">
      <w:pPr>
        <w:pStyle w:val="ParaNoNdepar-AltN"/>
        <w:rPr>
          <w:rFonts w:cs="Times New Roman"/>
        </w:rPr>
      </w:pPr>
      <w:r w:rsidRPr="00B24801">
        <w:rPr>
          <w:rFonts w:cs="Times New Roman"/>
        </w:rPr>
        <w:lastRenderedPageBreak/>
        <w:t>Il convient de rappeler que la détermination de la nature fonctionnelle essentielle de la succursale de Montréal exige un examen de ses « activités normales ou habituelles » (</w:t>
      </w:r>
      <w:r w:rsidRPr="00B24801">
        <w:rPr>
          <w:rFonts w:cs="Times New Roman"/>
          <w:i/>
        </w:rPr>
        <w:t>Ontario Hydro</w:t>
      </w:r>
      <w:r w:rsidRPr="00B24801">
        <w:rPr>
          <w:rFonts w:cs="Times New Roman"/>
        </w:rPr>
        <w:t xml:space="preserve">, p. 351; </w:t>
      </w:r>
      <w:r w:rsidRPr="00B24801">
        <w:rPr>
          <w:rFonts w:cs="Times New Roman"/>
          <w:i/>
        </w:rPr>
        <w:t>Construction Montcalm</w:t>
      </w:r>
      <w:r w:rsidRPr="00B24801">
        <w:rPr>
          <w:rFonts w:cs="Times New Roman"/>
        </w:rPr>
        <w:t>, p. 769; voir aussi</w:t>
      </w:r>
      <w:r w:rsidRPr="00B24801">
        <w:rPr>
          <w:rFonts w:cs="Times New Roman"/>
          <w:i/>
        </w:rPr>
        <w:t xml:space="preserve"> Tessier</w:t>
      </w:r>
      <w:r w:rsidRPr="00B24801">
        <w:rPr>
          <w:rFonts w:cs="Times New Roman"/>
        </w:rPr>
        <w:t>,</w:t>
      </w:r>
      <w:r w:rsidRPr="00B24801">
        <w:rPr>
          <w:rFonts w:cs="Times New Roman"/>
          <w:i/>
        </w:rPr>
        <w:t xml:space="preserve"> </w:t>
      </w:r>
      <w:r w:rsidRPr="00B24801">
        <w:rPr>
          <w:rFonts w:cs="Times New Roman"/>
        </w:rPr>
        <w:t>par. 18). Pour ce faire, je vais me pencher sur les conclusions du Tribunal.</w:t>
      </w:r>
    </w:p>
    <w:p w14:paraId="4E0586DB" w14:textId="77777777" w:rsidR="00B751E6" w:rsidRPr="00B24801" w:rsidRDefault="00B751E6" w:rsidP="00B751E6">
      <w:pPr>
        <w:pStyle w:val="ParaNoNdepar-AltN"/>
        <w:rPr>
          <w:rFonts w:cs="Times New Roman"/>
        </w:rPr>
      </w:pPr>
      <w:r w:rsidRPr="00B24801">
        <w:rPr>
          <w:rFonts w:cs="Times New Roman"/>
        </w:rPr>
        <w:t xml:space="preserve">Nul ne conteste que les employés de la succursale de Montréal </w:t>
      </w:r>
      <w:proofErr w:type="gramStart"/>
      <w:r w:rsidRPr="00B24801">
        <w:rPr>
          <w:rFonts w:cs="Times New Roman"/>
        </w:rPr>
        <w:t>sont</w:t>
      </w:r>
      <w:proofErr w:type="gramEnd"/>
      <w:r w:rsidRPr="00B24801">
        <w:rPr>
          <w:rFonts w:cs="Times New Roman"/>
        </w:rPr>
        <w:t xml:space="preserve"> des inspecteurs et des agents de classement des grains spécialisés. Les inspecteurs prélèvent des échantillons et font des analyses de base sur les grains pour vérifier s’ils sont endommagés (2021 QCTAT 1021, par. 44).</w:t>
      </w:r>
      <w:r w:rsidRPr="00B24801">
        <w:rPr>
          <w:rStyle w:val="CommentReference2"/>
          <w:rFonts w:cs="Times New Roman"/>
        </w:rPr>
        <w:t xml:space="preserve"> </w:t>
      </w:r>
      <w:r w:rsidRPr="00B24801">
        <w:rPr>
          <w:rFonts w:cs="Times New Roman"/>
        </w:rPr>
        <w:t>Ils inspectent aussi les silos à grains pour s’assurer et certifier qu’ils sont propres et exempts de contamination une fois qu’ils sont vides. Si le silo est propre, l’inspecteur le scelle pour la prochaine cargaison (par. 45). Les agents de classement analysent les échantillons de grain, selon les normes établies par la Commission, afin d’attribuer un grade en fonction du poids, de la couleur et de la présence d’imperfections. Pour effectuer ces analyses, les agents de classement utilisent des machines spécialisées qui nettoient les grains et enlèvent les écailles, calculent la présence de toxines ainsi que de dommages causés par la germination et évaluent les niveaux d’humidité et de protéine (par. 48). Les agents de classement de SGS effectuent aussi d’autres analyses lorsque les clients de celle-ci doivent respecter des normes internationales plus exigeantes (par. 50). Tous les résultats d’analyse sont immédiatement transmis au client. Ils sont aussi communiqués au bureau administratif de la succursale de Montréal à la fin du chargement, en vue de la délivrance d’un certificat de conformité.</w:t>
      </w:r>
    </w:p>
    <w:p w14:paraId="451351E8" w14:textId="77777777" w:rsidR="00B751E6" w:rsidRPr="00B24801" w:rsidRDefault="00B751E6" w:rsidP="00B751E6">
      <w:pPr>
        <w:pStyle w:val="ParaNoNdepar-AltN"/>
        <w:rPr>
          <w:rFonts w:cs="Times New Roman"/>
        </w:rPr>
      </w:pPr>
      <w:r w:rsidRPr="00B24801">
        <w:rPr>
          <w:rFonts w:cs="Times New Roman"/>
        </w:rPr>
        <w:lastRenderedPageBreak/>
        <w:t xml:space="preserve">La preuve a établi que les employés de la succursale de Montréal consacrent environ 90 p. 100 de leur temps à faire des inspections de grains et à fournir des services de certification aux six silos à grains situés dans des ports du Québec — tous des travaux déclarés au titre de l’al. 92(10)c) de la </w:t>
      </w:r>
      <w:r w:rsidRPr="00B24801">
        <w:rPr>
          <w:rFonts w:cs="Times New Roman"/>
          <w:i/>
        </w:rPr>
        <w:t>Loi constitutionnelle de 1867</w:t>
      </w:r>
      <w:r w:rsidRPr="00B24801">
        <w:rPr>
          <w:rFonts w:cs="Times New Roman"/>
        </w:rPr>
        <w:t xml:space="preserve"> (2021 QCTAT 1021, par. 55 et 123). </w:t>
      </w:r>
    </w:p>
    <w:p w14:paraId="1139FCAA" w14:textId="77777777" w:rsidR="00B751E6" w:rsidRPr="00B24801" w:rsidRDefault="00B751E6" w:rsidP="00B751E6">
      <w:pPr>
        <w:pStyle w:val="ParaNoNdepar-AltN"/>
        <w:rPr>
          <w:rFonts w:cs="Times New Roman"/>
        </w:rPr>
      </w:pPr>
      <w:r w:rsidRPr="00B24801">
        <w:rPr>
          <w:rFonts w:cs="Times New Roman"/>
        </w:rPr>
        <w:t xml:space="preserve">Puisque la succursale de Montréal est une unité au sein d’une organisation plus large, je dois être convaincue qu’il s’agit d’une unité suffisamment distincte du reste de SGS. Le PGQ soutient que les instances inférieures ont commis une erreur en concluant que la Division et la succursale de Montréal pouvaient toutes les deux être séparées de SGS pour les besoins de l’analyse constitutionnelle. </w:t>
      </w:r>
    </w:p>
    <w:p w14:paraId="789EAEE4" w14:textId="77777777" w:rsidR="00B751E6" w:rsidRPr="00B24801" w:rsidRDefault="00B751E6" w:rsidP="00B751E6">
      <w:pPr>
        <w:pStyle w:val="ParaNoNdepar-AltN"/>
        <w:rPr>
          <w:rFonts w:cs="Times New Roman"/>
        </w:rPr>
      </w:pPr>
      <w:r w:rsidRPr="00B24801">
        <w:rPr>
          <w:rFonts w:cs="Times New Roman"/>
        </w:rPr>
        <w:t>J’examine d’abord les conclusions du Tribunal concernant la Division. Celui-ci a jugé que la Division était clairement dissociable du reste de la société parce que (i) la Division avait des finances, une infrastructure, des locaux et des employés distincts; (ii) il n’y avait pas d’interdépendance entre les employés des différentes divisions; et (iii) le travail d’une division n’a pas d’incidence sur les autres. Ces conclusions démontrent l’absence de relation de dépendance d’une division envers les autres ou de lien entre elles.</w:t>
      </w:r>
    </w:p>
    <w:p w14:paraId="7AA85650" w14:textId="77777777" w:rsidR="00B751E6" w:rsidRPr="00B24801" w:rsidRDefault="00B751E6" w:rsidP="00B751E6">
      <w:pPr>
        <w:pStyle w:val="ParaNoNdepar-AltN"/>
        <w:rPr>
          <w:rFonts w:cs="Times New Roman"/>
        </w:rPr>
      </w:pPr>
      <w:r w:rsidRPr="00B24801">
        <w:rPr>
          <w:rFonts w:cs="Times New Roman"/>
        </w:rPr>
        <w:t xml:space="preserve">Le PGQ conteste ces conclusions. Il fait valoir que les divisions de SGS ne sont pas distinctes parce qu’elles fournissent toutes des services d’inspection, de contrôle, d’analyse et de certification. Cependant, cet argument présente à tort le travail de différentes divisions de SGS de façon tellement générale qu’il élimine la possibilité </w:t>
      </w:r>
      <w:r w:rsidRPr="00B24801">
        <w:rPr>
          <w:rFonts w:cs="Times New Roman"/>
        </w:rPr>
        <w:lastRenderedPageBreak/>
        <w:t xml:space="preserve">de dégager des distinctions significatives entre elles et les diverses entreprises pour lesquelles elles travaillent. Cela revient à dire que, dans l’affaire </w:t>
      </w:r>
      <w:r w:rsidRPr="00B24801">
        <w:rPr>
          <w:rFonts w:cs="Times New Roman"/>
          <w:i/>
        </w:rPr>
        <w:t>Ontario Hydro</w:t>
      </w:r>
      <w:r w:rsidRPr="00B24801">
        <w:rPr>
          <w:rFonts w:cs="Times New Roman"/>
        </w:rPr>
        <w:t>, les employés qui travaillaient pour les centrales nucléaires n’étaient pas différents de ceux qui travaillaient dans les installations non nucléaires parce qu’ils étaient tous dans le domaine de la production d’électricité. De tels niveaux de généralisation ne rendent pas compte adéquatement de la réalité du travail et des fonctions d’une unité. Je suis convaincue que la Division est une unité fonctionnellement distincte du reste de SGS.</w:t>
      </w:r>
    </w:p>
    <w:p w14:paraId="27043413" w14:textId="77777777" w:rsidR="00B751E6" w:rsidRPr="00B24801" w:rsidRDefault="00B751E6" w:rsidP="00B751E6">
      <w:pPr>
        <w:pStyle w:val="ParaNoNdepar-AltN"/>
        <w:rPr>
          <w:rFonts w:cs="Times New Roman"/>
        </w:rPr>
      </w:pPr>
      <w:r w:rsidRPr="00B24801">
        <w:rPr>
          <w:rFonts w:cs="Times New Roman"/>
        </w:rPr>
        <w:t xml:space="preserve">Le PGQ fait également valoir que les tribunaux ont commis une erreur en concluant que la succursale de Montréal pouvait être séparée du reste de la Division. Il soutient que cela n’est pas permis parce que le reste de la Division fournit les mêmes types de services d’inspection et de certification pour les clients du secteur agricole partout au pays, y compris les silos à grains. </w:t>
      </w:r>
    </w:p>
    <w:p w14:paraId="674E7DDD" w14:textId="77777777" w:rsidR="00B751E6" w:rsidRPr="00B24801" w:rsidRDefault="00B751E6" w:rsidP="00B751E6">
      <w:pPr>
        <w:pStyle w:val="ParaNoNdepar-AltN"/>
        <w:rPr>
          <w:rFonts w:cs="Times New Roman"/>
        </w:rPr>
      </w:pPr>
      <w:r w:rsidRPr="00B24801">
        <w:rPr>
          <w:rFonts w:cs="Times New Roman"/>
        </w:rPr>
        <w:t xml:space="preserve">Le Tribunal n’a pas expressément conclu que la succursale pouvait être divisée. Bien que cela ait constitué une erreur, la Cour supérieure et la Cour d’appel du Québec ont toutes deux jugé que les conclusions du Tribunal étaient suffisantes pour conclure que la succursale de Montréal est fonctionnellement distincte du reste de SGS. </w:t>
      </w:r>
    </w:p>
    <w:p w14:paraId="493F73A2" w14:textId="77777777" w:rsidR="00B751E6" w:rsidRPr="00B24801" w:rsidRDefault="00B751E6" w:rsidP="00B751E6">
      <w:pPr>
        <w:pStyle w:val="ParaNoNdepar-AltN"/>
        <w:rPr>
          <w:rFonts w:cs="Times New Roman"/>
        </w:rPr>
      </w:pPr>
      <w:r w:rsidRPr="00B24801">
        <w:rPr>
          <w:rFonts w:cs="Times New Roman"/>
        </w:rPr>
        <w:t xml:space="preserve">Je suis d’accord avec les instances inférieures. La critique du PGQ ne tient pas suffisamment compte des conclusions du Tribunal. La décision du Tribunal contient de nombreuses conclusions factuelles précises qui cadrent avec les facteurs de l’arrêt </w:t>
      </w:r>
      <w:proofErr w:type="spellStart"/>
      <w:r w:rsidRPr="00B24801">
        <w:rPr>
          <w:rFonts w:cs="Times New Roman"/>
          <w:i/>
        </w:rPr>
        <w:t>Northern</w:t>
      </w:r>
      <w:proofErr w:type="spellEnd"/>
      <w:r w:rsidRPr="00B24801">
        <w:rPr>
          <w:rFonts w:cs="Times New Roman"/>
          <w:i/>
        </w:rPr>
        <w:t xml:space="preserve"> Telecom 2</w:t>
      </w:r>
      <w:r w:rsidRPr="00B24801">
        <w:rPr>
          <w:rFonts w:cs="Times New Roman"/>
        </w:rPr>
        <w:t xml:space="preserve"> présentés plus tôt. Ces conclusions sont suffisantes pour </w:t>
      </w:r>
      <w:r w:rsidRPr="00B24801">
        <w:rPr>
          <w:rFonts w:cs="Times New Roman"/>
        </w:rPr>
        <w:lastRenderedPageBreak/>
        <w:t xml:space="preserve">conclure que la nature dominante du travail de la succursale de Montréal se distinguait assez pour qu’elle soit séparée du reste de la Division. </w:t>
      </w:r>
    </w:p>
    <w:p w14:paraId="2243DA5B" w14:textId="77777777" w:rsidR="00B751E6" w:rsidRPr="00B24801" w:rsidRDefault="00B751E6" w:rsidP="00B751E6">
      <w:pPr>
        <w:pStyle w:val="ParaNoNdepar-AltN"/>
        <w:rPr>
          <w:rFonts w:cs="Times New Roman"/>
        </w:rPr>
      </w:pPr>
      <w:r w:rsidRPr="00B24801">
        <w:rPr>
          <w:rStyle w:val="ParaNoNdepar-AltNChar"/>
          <w:rFonts w:cs="Times New Roman"/>
        </w:rPr>
        <w:t>Il ressort du</w:t>
      </w:r>
      <w:r w:rsidRPr="00B24801">
        <w:rPr>
          <w:rFonts w:cs="Times New Roman"/>
        </w:rPr>
        <w:t xml:space="preserve"> dossier que, bien que la succursale de Montréal soit axée sur la manutention du grain, ce n’est pas le cas des autres succursales de la Division. La Division fournit une grande variété de services agricoles, y compris l’analyse de tous les types de cultures, de semences d’OGM, d’aliments destinés aux animaux d’élevage, d’échantillons d’aliments et de produits de santé fonctionnels. À Saskatoon, par exemple, la succursale exploite un laboratoire de génomique depuis 2017 où sont analysés une grande variété de cultures, d’aliments et de produits de semence, notamment le canola, le soya, le maïs, le lin, le blé et la luzerne (</w:t>
      </w:r>
      <w:proofErr w:type="spellStart"/>
      <w:r w:rsidRPr="00B24801">
        <w:rPr>
          <w:rFonts w:cs="Times New Roman"/>
        </w:rPr>
        <w:t>d.a</w:t>
      </w:r>
      <w:proofErr w:type="spellEnd"/>
      <w:r w:rsidRPr="00B24801">
        <w:rPr>
          <w:rFonts w:cs="Times New Roman"/>
        </w:rPr>
        <w:t>., vol. II, p. 83). Ce laboratoire vise à offrir [</w:t>
      </w:r>
      <w:r w:rsidRPr="00B24801">
        <w:rPr>
          <w:rFonts w:cs="Times New Roman"/>
          <w:smallCaps/>
        </w:rPr>
        <w:t>traduction</w:t>
      </w:r>
      <w:r w:rsidRPr="00B24801">
        <w:rPr>
          <w:rFonts w:cs="Times New Roman"/>
        </w:rPr>
        <w:t>] « des analyses précises et efficaces des OGM pour les cultures et les produits alimentaires canadiens » (p. 84). La succursale de Vancouver offre aussi des services relatifs aux biocarburants (p. 77)</w:t>
      </w:r>
      <w:r w:rsidRPr="00B24801">
        <w:rPr>
          <w:rStyle w:val="Hyperlien"/>
          <w:vertAlign w:val="superscript"/>
        </w:rPr>
        <w:footnoteReference w:id="4"/>
      </w:r>
      <w:r w:rsidRPr="00B24801">
        <w:rPr>
          <w:rFonts w:cs="Times New Roman"/>
        </w:rPr>
        <w:t xml:space="preserve">. </w:t>
      </w:r>
    </w:p>
    <w:p w14:paraId="201C99FF" w14:textId="77777777" w:rsidR="00B751E6" w:rsidRPr="00B24801" w:rsidRDefault="00B751E6" w:rsidP="00B751E6">
      <w:pPr>
        <w:pStyle w:val="ParaNoNdepar-AltN"/>
        <w:rPr>
          <w:rFonts w:cs="Times New Roman"/>
        </w:rPr>
      </w:pPr>
      <w:r w:rsidRPr="00B24801">
        <w:rPr>
          <w:rFonts w:cs="Times New Roman"/>
        </w:rPr>
        <w:t xml:space="preserve">Les employés de la succursale de Montréal sont des inspecteurs de grains et des agents de classement spécialisés qui consacrent 90 p. 100 de leur temps à fournir des services d’inspection et d’analyse du grain aux six silos à grains situés dans des ports du Québec. Leur travail est séparé de celui des employés des autres succursales de la Division. Ces inspecteurs et ces agents de classement sont les seuls employés de SGS qui fournissent des services d’inspection du grain aux silos à grains au Québec. </w:t>
      </w:r>
      <w:r w:rsidRPr="00B24801">
        <w:rPr>
          <w:rFonts w:cs="Times New Roman"/>
        </w:rPr>
        <w:lastRenderedPageBreak/>
        <w:t xml:space="preserve">Leur travail en est aussi un de longue date : la succursale fournit régulièrement des services à </w:t>
      </w:r>
      <w:proofErr w:type="spellStart"/>
      <w:r w:rsidRPr="00B24801">
        <w:rPr>
          <w:rFonts w:cs="Times New Roman"/>
        </w:rPr>
        <w:t>Viterra</w:t>
      </w:r>
      <w:proofErr w:type="spellEnd"/>
      <w:r w:rsidRPr="00B24801">
        <w:rPr>
          <w:rFonts w:cs="Times New Roman"/>
        </w:rPr>
        <w:t xml:space="preserve"> depuis 14 ans.</w:t>
      </w:r>
    </w:p>
    <w:p w14:paraId="044C8350" w14:textId="77777777" w:rsidR="00B751E6" w:rsidRPr="00B24801" w:rsidRDefault="00B751E6" w:rsidP="00B751E6">
      <w:pPr>
        <w:pStyle w:val="ParaNoNdepar-AltN"/>
        <w:rPr>
          <w:rFonts w:cs="Times New Roman"/>
        </w:rPr>
      </w:pPr>
      <w:r w:rsidRPr="00B24801">
        <w:rPr>
          <w:rFonts w:cs="Times New Roman"/>
        </w:rPr>
        <w:t xml:space="preserve">Sur le plan organisationnel, la succursale de Montréal a son directeur, ses finances, son infrastructure et ses bureaux propres (motifs de la C.A., par. 58). Elle est gérée indépendamment des autres succursales, et les employés de l’unité travaillent dans leurs propres laboratoires, situés dans les locaux du client (2021 QCTAT 1021, par. 26). </w:t>
      </w:r>
    </w:p>
    <w:p w14:paraId="065645F8" w14:textId="77777777" w:rsidR="00B751E6" w:rsidRPr="00B24801" w:rsidRDefault="00B751E6" w:rsidP="00B751E6">
      <w:pPr>
        <w:pStyle w:val="ParaNoNdepar-AltN"/>
        <w:rPr>
          <w:rFonts w:cs="Times New Roman"/>
        </w:rPr>
      </w:pPr>
      <w:r w:rsidRPr="00B24801">
        <w:rPr>
          <w:rFonts w:cs="Times New Roman"/>
        </w:rPr>
        <w:t xml:space="preserve">Bien que le PGQ ait raison de souligner que d’autres succursales dans la Division travaillent vraisemblablement pour d’autres silos à grains, cela ne fait pas obstacle à l’application de la compétence fédérale aux employés de la succursale de Montréal en cause. Par exemple, je note que l’affaire </w:t>
      </w:r>
      <w:proofErr w:type="spellStart"/>
      <w:r w:rsidRPr="00B24801">
        <w:rPr>
          <w:rFonts w:cs="Times New Roman"/>
          <w:i/>
        </w:rPr>
        <w:t>Northern</w:t>
      </w:r>
      <w:proofErr w:type="spellEnd"/>
      <w:r w:rsidRPr="00B24801">
        <w:rPr>
          <w:rFonts w:cs="Times New Roman"/>
          <w:i/>
        </w:rPr>
        <w:t xml:space="preserve"> Telecom</w:t>
      </w:r>
      <w:r w:rsidRPr="00B24801">
        <w:rPr>
          <w:rFonts w:cs="Times New Roman"/>
        </w:rPr>
        <w:t xml:space="preserve"> </w:t>
      </w:r>
      <w:r w:rsidRPr="00B24801">
        <w:rPr>
          <w:rFonts w:cs="Times New Roman"/>
          <w:i/>
        </w:rPr>
        <w:t>2</w:t>
      </w:r>
      <w:r w:rsidRPr="00B24801">
        <w:rPr>
          <w:rFonts w:cs="Times New Roman"/>
        </w:rPr>
        <w:t xml:space="preserve"> portait sur des installateurs dans la région de l’Est qui, tout comme les employés de Telecom dans la région de l’Ouest, travaillaient pour Bell Canada. Même si les employés de la région de l’Est travaillaient pour la même entreprise fédérale, la Cour a jugé qu’il convenait de les séparer du reste de la société. Les employés de la région de l’Est travaillaient exclusivement dans les locaux de Bell et n’avaient aucun véritable contact avec les autres employés. Ils exerçaient aussi des fonctions d’installation qui étaient distinctes de celles relatives à la fabrication d’équipements qu’exerçaient d’autres employés (p. 770-771). En d’autres mots, la Cour n’a eu aucune difficulté à distinguer les installateurs de la région de l’Est de ceux de la région de l’Ouest, même s’ils effectuaient le même travail. C’est sur la base d’un ensemble de facteurs indicatifs </w:t>
      </w:r>
      <w:r w:rsidRPr="00B24801">
        <w:rPr>
          <w:rFonts w:cs="Times New Roman"/>
        </w:rPr>
        <w:lastRenderedPageBreak/>
        <w:t xml:space="preserve">d’une dépendance que notre Cour a conclu qu’il était approprié de séparer les relations de travail des employés travaillant dans différentes régions du Canada (p. 770-771). </w:t>
      </w:r>
    </w:p>
    <w:p w14:paraId="36C6ED85" w14:textId="77777777" w:rsidR="00B751E6" w:rsidRPr="00B24801" w:rsidRDefault="00B751E6" w:rsidP="00B751E6">
      <w:pPr>
        <w:pStyle w:val="ParaNoNdepar-AltN"/>
        <w:rPr>
          <w:rStyle w:val="normaltextrun"/>
          <w:rFonts w:eastAsia="Times New Roman" w:cs="Times New Roman"/>
        </w:rPr>
      </w:pPr>
      <w:r w:rsidRPr="00B24801">
        <w:rPr>
          <w:rFonts w:cs="Times New Roman"/>
        </w:rPr>
        <w:t>Le fait que d’autres succursales dans la Division à l’échelle du Canada puissent offrir des services agricoles semblables dans d’autres régions géographiques ne change rien au fait que les opérations de la succursale de Montréal peuvent être distinguées structurellement et fonctionnellement de celles du reste de la société pour des motifs constitutionnels (</w:t>
      </w:r>
      <w:r w:rsidRPr="00B24801">
        <w:rPr>
          <w:rFonts w:cs="Times New Roman"/>
          <w:i/>
        </w:rPr>
        <w:t>Tessier</w:t>
      </w:r>
      <w:r w:rsidRPr="00B24801">
        <w:rPr>
          <w:rFonts w:cs="Times New Roman"/>
        </w:rPr>
        <w:t xml:space="preserve">, par. 55, citant </w:t>
      </w:r>
      <w:proofErr w:type="spellStart"/>
      <w:r w:rsidRPr="00B24801">
        <w:rPr>
          <w:rFonts w:cs="Times New Roman"/>
          <w:i/>
        </w:rPr>
        <w:t>Westcoast</w:t>
      </w:r>
      <w:proofErr w:type="spellEnd"/>
      <w:r w:rsidRPr="00B24801">
        <w:rPr>
          <w:rFonts w:cs="Times New Roman"/>
          <w:i/>
        </w:rPr>
        <w:t xml:space="preserve"> Energy</w:t>
      </w:r>
      <w:r w:rsidRPr="00B24801">
        <w:rPr>
          <w:rFonts w:cs="Times New Roman"/>
        </w:rPr>
        <w:t xml:space="preserve">, par. 124). L’indépendance organisationnelle de la succursale, son absence de lien avec d’autres succursales et la place dominante qu’ont les silos à grains du Québec sont tous des facteurs qui appuient la conclusion selon laquelle il s’agit d’une unité fonctionnellement distincte. Ma conclusion en l’espèce n’empêche pas d’autres succursales d’établir qu’elles sont fonctionnellement distinctes du reste de SGS en fonction de facteurs semblables. Par exemple, </w:t>
      </w:r>
      <w:r w:rsidRPr="00B24801">
        <w:rPr>
          <w:rStyle w:val="normaltextrun"/>
          <w:rFonts w:cs="Times New Roman"/>
        </w:rPr>
        <w:t xml:space="preserve">des employés des </w:t>
      </w:r>
      <w:r w:rsidRPr="00B24801">
        <w:rPr>
          <w:rFonts w:cs="Times New Roman"/>
        </w:rPr>
        <w:t xml:space="preserve">succursales </w:t>
      </w:r>
      <w:r w:rsidRPr="00B24801">
        <w:rPr>
          <w:rStyle w:val="normaltextrun"/>
          <w:rFonts w:cs="Times New Roman"/>
        </w:rPr>
        <w:t xml:space="preserve">de Vancouver et de Prince Rupert de la Division ont été accrédités en 2019 par le Conseil canadien des relations industrielles en vertu de la compétence fédérale (motifs de la C.A., par. 7). </w:t>
      </w:r>
    </w:p>
    <w:p w14:paraId="0892EA86" w14:textId="77777777" w:rsidR="00B751E6" w:rsidRPr="00B24801" w:rsidRDefault="00B751E6" w:rsidP="00B751E6">
      <w:pPr>
        <w:pStyle w:val="ParaNoNdepar-AltN"/>
        <w:rPr>
          <w:rStyle w:val="normaltextrun"/>
          <w:rFonts w:eastAsia="Times New Roman" w:cs="Times New Roman"/>
        </w:rPr>
      </w:pPr>
      <w:r w:rsidRPr="00B24801">
        <w:rPr>
          <w:rStyle w:val="normaltextrun"/>
          <w:rFonts w:cs="Times New Roman"/>
        </w:rPr>
        <w:t>En outre, la raison pour laquelle il faut éviter les divisions artificielles est que les relations de travail des employés qui font un travail fonctionnellement semblable ne doivent pas être régies par des gouvernements différents. En l’espèce, le fait de séparer les relations de travail des employés de la succursale de Montréal de celles des employés de la Division ne risque pas de</w:t>
      </w:r>
      <w:r w:rsidRPr="00B24801">
        <w:rPr>
          <w:rStyle w:val="normaltextrun"/>
          <w:rFonts w:cs="Times New Roman"/>
          <w:shd w:val="clear" w:color="auto" w:fill="FFFFFF"/>
        </w:rPr>
        <w:t xml:space="preserve"> diviser artificiellement des </w:t>
      </w:r>
      <w:r w:rsidRPr="00B24801">
        <w:rPr>
          <w:rStyle w:val="normaltextrun"/>
          <w:rFonts w:cs="Times New Roman"/>
          <w:shd w:val="clear" w:color="auto" w:fill="FFFFFF"/>
        </w:rPr>
        <w:lastRenderedPageBreak/>
        <w:t>employés qui étaient indissociables. Aucun autre inspecteur ou agent de classement dans la Division ne travaille au Québec. Le reste des employés qui exercent des fonctions semblables dans la Division travaillent dans des provinces différentes pour des ouvrages différents</w:t>
      </w:r>
      <w:r w:rsidRPr="00B24801">
        <w:rPr>
          <w:rStyle w:val="normaltextrun"/>
          <w:rFonts w:cs="Times New Roman"/>
        </w:rPr>
        <w:t>.</w:t>
      </w:r>
      <w:r w:rsidRPr="00B24801">
        <w:rPr>
          <w:rStyle w:val="eop"/>
          <w:rFonts w:cs="Times New Roman"/>
        </w:rPr>
        <w:t xml:space="preserve"> </w:t>
      </w:r>
    </w:p>
    <w:p w14:paraId="073BDD0B" w14:textId="77777777" w:rsidR="00B751E6" w:rsidRPr="00B24801" w:rsidRDefault="00B751E6" w:rsidP="00B751E6">
      <w:pPr>
        <w:pStyle w:val="ParaNoNdepar-AltN"/>
        <w:rPr>
          <w:rStyle w:val="eop"/>
          <w:rFonts w:cs="Times New Roman"/>
        </w:rPr>
      </w:pPr>
      <w:r w:rsidRPr="00B24801">
        <w:rPr>
          <w:rFonts w:cs="Times New Roman"/>
        </w:rPr>
        <w:t>Sur la base des conclusions factuelles du Tribunal, je suis d’avis que les 14 inspecteurs et agents de classement de la succursale de Montréal peuvent être séparés du reste de SGS.</w:t>
      </w:r>
    </w:p>
    <w:p w14:paraId="1E9B919E" w14:textId="77777777" w:rsidR="00B751E6" w:rsidRPr="00B24801" w:rsidRDefault="00B751E6" w:rsidP="00B751E6">
      <w:pPr>
        <w:pStyle w:val="ParaNoNdepar-AltN"/>
        <w:rPr>
          <w:rFonts w:cs="Times New Roman"/>
        </w:rPr>
      </w:pPr>
      <w:r w:rsidRPr="00B24801">
        <w:rPr>
          <w:rFonts w:cs="Times New Roman"/>
        </w:rPr>
        <w:t>J’aborde maintenant le critère relatif à la compétence directe.</w:t>
      </w:r>
    </w:p>
    <w:p w14:paraId="512E0ABA" w14:textId="77777777" w:rsidR="00B751E6" w:rsidRPr="00B24801" w:rsidRDefault="00B751E6" w:rsidP="00B751E6">
      <w:pPr>
        <w:pStyle w:val="Title3LevelTitre3Niveau"/>
        <w:jc w:val="both"/>
        <w:rPr>
          <w:rFonts w:cs="Times New Roman"/>
        </w:rPr>
      </w:pPr>
      <w:r w:rsidRPr="00B24801">
        <w:rPr>
          <w:rFonts w:cs="Times New Roman"/>
        </w:rPr>
        <w:t>La succursale de Montréal ne satisfait pas au critère relatif à la compétence directe</w:t>
      </w:r>
    </w:p>
    <w:p w14:paraId="6E5E617A" w14:textId="77777777" w:rsidR="00B751E6" w:rsidRPr="00B24801" w:rsidRDefault="00B751E6" w:rsidP="00B751E6">
      <w:pPr>
        <w:pStyle w:val="ParaNoNdepar-AltN"/>
        <w:rPr>
          <w:rFonts w:cs="Times New Roman"/>
        </w:rPr>
      </w:pPr>
      <w:r w:rsidRPr="00B24801">
        <w:rPr>
          <w:rFonts w:cs="Times New Roman"/>
        </w:rPr>
        <w:t xml:space="preserve">Les instances inférieures divergeaient d’opinion quant à la question de savoir si la succursale de Montréal était visée par la compétence directe. Alors que le Tribunal a jugé qu’elle ne l’était pas, la Cour d’appel a conclu qu’elle l’était. </w:t>
      </w:r>
    </w:p>
    <w:p w14:paraId="35CE7258" w14:textId="77777777" w:rsidR="00B751E6" w:rsidRPr="00B24801" w:rsidRDefault="00B751E6" w:rsidP="00B751E6">
      <w:pPr>
        <w:pStyle w:val="ParaNoNdepar-AltN"/>
        <w:rPr>
          <w:rFonts w:cs="Times New Roman"/>
        </w:rPr>
      </w:pPr>
      <w:r w:rsidRPr="00B24801">
        <w:rPr>
          <w:rFonts w:cs="Times New Roman"/>
        </w:rPr>
        <w:t xml:space="preserve">Le PGQ soutient qu’en concluant que la compétence directe s’applique aux tiers qui exercent des « activités intégrées » ou dont les services sont fonctionnellement nécessaires et essentiels à l’exploitation d’un ouvrage fédéral, la Cour d’appel a commis une erreur de droit et a confondu le critère relatif à la compétence directe et celui relatif à la compétence dérivée (motifs de la C.A., par. 86). Il demande à notre Cour de préciser que la compétence directe ne s’applique que lorsque les employés </w:t>
      </w:r>
      <w:r w:rsidRPr="00B24801">
        <w:rPr>
          <w:rFonts w:cs="Times New Roman"/>
        </w:rPr>
        <w:lastRenderedPageBreak/>
        <w:t xml:space="preserve">travaillent directement pour une entité qui possède ou exploite l’ouvrage. SGS n’est pas de cet avis. Selon elle, lorsque les activités normales et habituelles des employés sont directement liées à l’exploitation d’un ouvrage fédéral, la compétence directe est appropriée. </w:t>
      </w:r>
    </w:p>
    <w:p w14:paraId="4C055889" w14:textId="77777777" w:rsidR="00B751E6" w:rsidRPr="00B24801" w:rsidRDefault="00B751E6" w:rsidP="00B751E6">
      <w:pPr>
        <w:pStyle w:val="ParaNoNdepar-AltN"/>
        <w:rPr>
          <w:rFonts w:cs="Times New Roman"/>
        </w:rPr>
      </w:pPr>
      <w:r w:rsidRPr="00B24801">
        <w:rPr>
          <w:rFonts w:cs="Times New Roman"/>
        </w:rPr>
        <w:t>Je suis d’accord avec le PGQ. La Cour d’appel a commis une erreur en affirmant que la compétence directe s’applique aux tiers qui exercent des « activités intégrées » ou dont les services sont fonctionnellement nécessaires et essentiels à l’exploitation d’un ouvrage fédéral. Ce faisant, elle a de fait importé dans la compétence directe un critère fondé sur l’intégration qui se rattache à la compétence dérivée.</w:t>
      </w:r>
    </w:p>
    <w:p w14:paraId="04224CF3" w14:textId="77777777" w:rsidR="00B751E6" w:rsidRPr="00B24801" w:rsidRDefault="00B751E6" w:rsidP="00B751E6">
      <w:pPr>
        <w:pStyle w:val="ParaNoNdepar-AltN"/>
        <w:rPr>
          <w:rFonts w:cs="Times New Roman"/>
        </w:rPr>
      </w:pPr>
      <w:r w:rsidRPr="00B24801">
        <w:rPr>
          <w:rFonts w:cs="Times New Roman"/>
        </w:rPr>
        <w:t xml:space="preserve">Pour en venir à cette conclusion, la Cour d’appel a mal appliqué les arrêts </w:t>
      </w:r>
      <w:r w:rsidRPr="00B24801">
        <w:rPr>
          <w:rFonts w:cs="Times New Roman"/>
          <w:i/>
        </w:rPr>
        <w:t>Ontario Hydro</w:t>
      </w:r>
      <w:r w:rsidRPr="00B24801">
        <w:rPr>
          <w:rFonts w:cs="Times New Roman"/>
        </w:rPr>
        <w:t xml:space="preserve"> et </w:t>
      </w:r>
      <w:r w:rsidRPr="00B24801">
        <w:rPr>
          <w:rFonts w:cs="Times New Roman"/>
          <w:i/>
        </w:rPr>
        <w:t>Division Shur Grain,</w:t>
      </w:r>
      <w:r w:rsidRPr="00B24801">
        <w:rPr>
          <w:rFonts w:cs="Times New Roman"/>
        </w:rPr>
        <w:t xml:space="preserve"> </w:t>
      </w:r>
      <w:r w:rsidRPr="00B24801">
        <w:rPr>
          <w:rFonts w:cs="Times New Roman"/>
          <w:i/>
        </w:rPr>
        <w:t>Canada Packers Inc. c. Syndicat national des travailleurs et travailleuses de l’automobile, de l’aérospatiale et de l’outillage agricole du Canada</w:t>
      </w:r>
      <w:r w:rsidRPr="00B24801">
        <w:rPr>
          <w:rFonts w:cs="Times New Roman"/>
        </w:rPr>
        <w:t xml:space="preserve">, [1992] 2 C.F. 3 (C.A.F.), en étendant leur portée aux employés de tiers entrepreneurs qui n’exploitent pas eux-mêmes les ouvrages déclarés. Dûment interprétée, la décision dans l’arrêt </w:t>
      </w:r>
      <w:r w:rsidRPr="00B24801">
        <w:rPr>
          <w:rFonts w:cs="Times New Roman"/>
          <w:i/>
        </w:rPr>
        <w:t>Ontario Hydro</w:t>
      </w:r>
      <w:r w:rsidRPr="00B24801">
        <w:rPr>
          <w:rFonts w:cs="Times New Roman"/>
        </w:rPr>
        <w:t xml:space="preserve"> se limite aux employés embauchés par l’exploitant de l’ouvrage déclaré. Cette affaire portait sur les propres employés d’Ontario Hydro et ses propres </w:t>
      </w:r>
      <w:r w:rsidRPr="00B24801">
        <w:rPr>
          <w:rFonts w:cs="Times New Roman"/>
          <w:spacing w:val="-3"/>
        </w:rPr>
        <w:t>établissements nucléaires</w:t>
      </w:r>
      <w:r w:rsidRPr="00B24801">
        <w:rPr>
          <w:rFonts w:cs="Times New Roman"/>
        </w:rPr>
        <w:t xml:space="preserve">. Il n’était pas question d’un entrepreneur distinct qui fournit des services à un ouvrage fédéral exploité par quelqu’un d’autre. </w:t>
      </w:r>
    </w:p>
    <w:p w14:paraId="32EEBD33" w14:textId="77777777" w:rsidR="00B751E6" w:rsidRPr="00B24801" w:rsidRDefault="00B751E6" w:rsidP="00B751E6">
      <w:pPr>
        <w:pStyle w:val="ParaNoNdepar-AltN"/>
        <w:rPr>
          <w:rFonts w:cs="Times New Roman"/>
        </w:rPr>
      </w:pPr>
      <w:r w:rsidRPr="00B24801">
        <w:rPr>
          <w:rFonts w:cs="Times New Roman"/>
        </w:rPr>
        <w:lastRenderedPageBreak/>
        <w:t xml:space="preserve">Ces deux décisions sont antérieures à l’arrêt </w:t>
      </w:r>
      <w:r w:rsidRPr="00B24801">
        <w:rPr>
          <w:rFonts w:cs="Times New Roman"/>
          <w:i/>
        </w:rPr>
        <w:t xml:space="preserve">Tessier — </w:t>
      </w:r>
      <w:r w:rsidRPr="00B24801">
        <w:rPr>
          <w:rFonts w:cs="Times New Roman"/>
        </w:rPr>
        <w:t>où notre Cour a dégagé les catégories de compétence directe et de compétence dérivée. Aucune de celles-ci n’abordait la question de savoir si une entité tierce était visée par une déclaration faite en application de l’al. 92(10)c). Elles portaient plutôt sur la question de savoir si la compétence fédérale sur les ouvrages déclarés se limitait à l’ouvrage en tant que tel, ou si elle comprenait aussi la réglementation applicable aux employés qui exploitaient cet ouvrage. C’est dans ce contexte qu’elles ont examiné l’intégration des employés à un ouvrage fédéral. Elles voulaient ainsi éviter une approche formaliste du fédéralisme qui conférait au fédéral la compétence sur un ouvrage, mais pas sur ceux qui exploitent l’ouvrage (</w:t>
      </w:r>
      <w:r w:rsidRPr="00B24801">
        <w:rPr>
          <w:rFonts w:cs="Times New Roman"/>
          <w:i/>
        </w:rPr>
        <w:t>Ontario Hydro</w:t>
      </w:r>
      <w:r w:rsidRPr="00B24801">
        <w:rPr>
          <w:rFonts w:cs="Times New Roman"/>
        </w:rPr>
        <w:t>,</w:t>
      </w:r>
      <w:r w:rsidRPr="00B24801">
        <w:rPr>
          <w:rFonts w:cs="Times New Roman"/>
          <w:i/>
        </w:rPr>
        <w:t xml:space="preserve"> </w:t>
      </w:r>
      <w:r w:rsidRPr="00B24801">
        <w:rPr>
          <w:rFonts w:cs="Times New Roman"/>
        </w:rPr>
        <w:t xml:space="preserve">p. 349 et 358-359, le juge en chef Lamer; voir aussi </w:t>
      </w:r>
      <w:proofErr w:type="spellStart"/>
      <w:r w:rsidRPr="00B24801">
        <w:rPr>
          <w:rFonts w:cs="Times New Roman"/>
          <w:i/>
        </w:rPr>
        <w:t>Telecon</w:t>
      </w:r>
      <w:proofErr w:type="spellEnd"/>
      <w:r w:rsidRPr="00B24801">
        <w:rPr>
          <w:rFonts w:cs="Times New Roman"/>
          <w:i/>
        </w:rPr>
        <w:t xml:space="preserve"> Inc. c. Fraternité internationale des ouvriers en électricité, section locale 213</w:t>
      </w:r>
      <w:r w:rsidRPr="00B24801">
        <w:rPr>
          <w:rFonts w:cs="Times New Roman"/>
        </w:rPr>
        <w:t xml:space="preserve">, 2019 CAF 244, 439 D.L.R. (4th) 558; </w:t>
      </w:r>
      <w:proofErr w:type="spellStart"/>
      <w:r w:rsidRPr="00B24801">
        <w:rPr>
          <w:rFonts w:cs="Times New Roman"/>
          <w:i/>
        </w:rPr>
        <w:t>Ramkey</w:t>
      </w:r>
      <w:proofErr w:type="spellEnd"/>
      <w:r w:rsidRPr="00B24801">
        <w:rPr>
          <w:rFonts w:cs="Times New Roman"/>
          <w:i/>
        </w:rPr>
        <w:t xml:space="preserve"> Communications Inc. c. </w:t>
      </w:r>
      <w:proofErr w:type="spellStart"/>
      <w:r w:rsidRPr="00B24801">
        <w:rPr>
          <w:rFonts w:cs="Times New Roman"/>
          <w:i/>
        </w:rPr>
        <w:t>Labourers</w:t>
      </w:r>
      <w:proofErr w:type="spellEnd"/>
      <w:r w:rsidRPr="00B24801">
        <w:rPr>
          <w:rFonts w:cs="Times New Roman"/>
          <w:i/>
        </w:rPr>
        <w:t>’ International Union of North America</w:t>
      </w:r>
      <w:r w:rsidRPr="00B24801">
        <w:rPr>
          <w:rFonts w:cs="Times New Roman"/>
        </w:rPr>
        <w:t xml:space="preserve">, 2019 ONCA 859, 149 O.R. (3d) 1). </w:t>
      </w:r>
    </w:p>
    <w:p w14:paraId="0BDD2CD7" w14:textId="77777777" w:rsidR="00B751E6" w:rsidRPr="00B24801" w:rsidRDefault="00B751E6" w:rsidP="00B751E6">
      <w:pPr>
        <w:pStyle w:val="ParaNoNdepar-AltN"/>
        <w:spacing w:before="240" w:after="0"/>
        <w:rPr>
          <w:rFonts w:cs="Times New Roman"/>
        </w:rPr>
      </w:pPr>
      <w:r w:rsidRPr="00B24801">
        <w:rPr>
          <w:rFonts w:cs="Times New Roman"/>
        </w:rPr>
        <w:t xml:space="preserve">La distinction entre la compétence directe et la compétence dérivée est importante. La compétence directe est réservée aux travailleurs qui sont directement à l’emploi d’entités exploitant un ouvrage ou une entreprise de nature fédérale. Sauf dans le cas où ces sociétés exploitent aussi des ouvrages ou des entreprises de nature provinciale, la compétence sur les relations de travail sera vraisemblablement fédérale. Par contraste, la compétence dérivée ne s’applique que dans des cas limités où un employeur est un tiers fournissant des services à un ouvrage ou une entreprise de nature fédérale — sans l’exploiter lui-même. La doctrine garantit que le travail essentiel externalisé par les entreprises fédérales est aussi régi par le Parlement. </w:t>
      </w:r>
      <w:r w:rsidRPr="00B24801">
        <w:rPr>
          <w:rFonts w:eastAsia="Calibri" w:cs="Times New Roman"/>
        </w:rPr>
        <w:t xml:space="preserve">Le fait de </w:t>
      </w:r>
      <w:r w:rsidRPr="00B24801">
        <w:rPr>
          <w:rFonts w:eastAsia="Calibri" w:cs="Times New Roman"/>
        </w:rPr>
        <w:lastRenderedPageBreak/>
        <w:t>confondre compétence directe et compétence dérivée risque d’étendre la compétence fédérale directe de façon importante et injustifiée, ce qui aurait potentiellement pour effet d’inclure dans le champ de compétence fédérale tout entrepreneur exerçant des fonctions prescrites par la loi dans le cadre d’un ouvrage ou d’une entreprise de nature fédérale, sans égard au caractère par ailleurs local de ses propres opérations.</w:t>
      </w:r>
    </w:p>
    <w:p w14:paraId="3F0DE961" w14:textId="77777777" w:rsidR="00B751E6" w:rsidRPr="00B24801" w:rsidRDefault="00B751E6" w:rsidP="00B751E6">
      <w:pPr>
        <w:pStyle w:val="ParaNoNdepar-AltN"/>
        <w:rPr>
          <w:rFonts w:eastAsia="Calibri" w:cs="Times New Roman"/>
        </w:rPr>
      </w:pPr>
      <w:r w:rsidRPr="00B24801">
        <w:rPr>
          <w:rFonts w:cs="Times New Roman"/>
        </w:rPr>
        <w:t xml:space="preserve">En somme, pour relever de la compétence fédérale directe, la succursale de Montréal de SGS devrait exploiter elle-même les ouvrages fédéraux déclarés. Ce n’est pas le cas. SGS ne possède, ne gère, ne contrôle ni n’exploite autrement aucun des silos à grains dans la présente affaire. Ces silos sont exploités par des sociétés comme </w:t>
      </w:r>
      <w:proofErr w:type="spellStart"/>
      <w:r w:rsidRPr="00B24801">
        <w:rPr>
          <w:rFonts w:cs="Times New Roman"/>
        </w:rPr>
        <w:t>Viterra</w:t>
      </w:r>
      <w:proofErr w:type="spellEnd"/>
      <w:r w:rsidRPr="00B24801">
        <w:rPr>
          <w:rFonts w:cs="Times New Roman"/>
        </w:rPr>
        <w:t xml:space="preserve">, qui sont des exploitants de silos à grains titulaires d’une licence au titre de la </w:t>
      </w:r>
      <w:r w:rsidRPr="00B24801">
        <w:rPr>
          <w:rFonts w:cs="Times New Roman"/>
          <w:i/>
        </w:rPr>
        <w:t xml:space="preserve">Loi sur les grains du Canada </w:t>
      </w:r>
      <w:r w:rsidRPr="00B24801">
        <w:rPr>
          <w:rFonts w:cs="Times New Roman"/>
        </w:rPr>
        <w:t xml:space="preserve">(art. 44 et par. 45(2)). La succursale de Montréal de SGS fournit plutôt des services d’inspection par des tiers autorisés conformément à la Loi (art. 69.1, 70, 70.2 et 70.3). Son travail est lié aux ouvrages déclarés, mais SGS n’en exploite elle-même aucun. </w:t>
      </w:r>
    </w:p>
    <w:p w14:paraId="13BF0DB3" w14:textId="77777777" w:rsidR="00B751E6" w:rsidRPr="00B24801" w:rsidRDefault="00B751E6" w:rsidP="00B751E6">
      <w:pPr>
        <w:pStyle w:val="ParaNoNdepar-AltN"/>
        <w:rPr>
          <w:rFonts w:cs="Times New Roman"/>
        </w:rPr>
      </w:pPr>
      <w:r w:rsidRPr="00B24801">
        <w:rPr>
          <w:rFonts w:cs="Times New Roman"/>
        </w:rPr>
        <w:t>SGS et les sociétés qui exploitent les silos à grains ne peuvent pas non plus être considérées comme une entreprise fédérale unique exploitée en commun. Les exploitants sont des clients de SGS. Il n’y a aucune preuve que SGS et ces exploitants partagent une gestion, une direction ou un contrôle commun, ou qu’ils forment ensemble une entreprise intégrée unique affectée à l’exploitation des silos à grains (</w:t>
      </w:r>
      <w:proofErr w:type="spellStart"/>
      <w:r w:rsidRPr="00B24801">
        <w:rPr>
          <w:rFonts w:cs="Times New Roman"/>
          <w:i/>
          <w:iCs/>
        </w:rPr>
        <w:t>Westcoast</w:t>
      </w:r>
      <w:proofErr w:type="spellEnd"/>
      <w:r w:rsidRPr="00B24801">
        <w:rPr>
          <w:rFonts w:cs="Times New Roman"/>
          <w:i/>
          <w:iCs/>
        </w:rPr>
        <w:t xml:space="preserve"> Energy</w:t>
      </w:r>
      <w:r w:rsidRPr="00B24801">
        <w:rPr>
          <w:rFonts w:cs="Times New Roman"/>
        </w:rPr>
        <w:t>, par. 49; Hogg et Wright, § 22:8).</w:t>
      </w:r>
    </w:p>
    <w:p w14:paraId="237D4F3D" w14:textId="77777777" w:rsidR="00B751E6" w:rsidRPr="00B24801" w:rsidRDefault="00B751E6" w:rsidP="00B751E6">
      <w:pPr>
        <w:pStyle w:val="ParaNoNdepar-AltN"/>
        <w:rPr>
          <w:rFonts w:eastAsia="Calibri" w:cs="Times New Roman"/>
        </w:rPr>
      </w:pPr>
      <w:r w:rsidRPr="00B24801">
        <w:rPr>
          <w:rFonts w:cs="Times New Roman"/>
        </w:rPr>
        <w:lastRenderedPageBreak/>
        <w:t xml:space="preserve">Bref, comme la succursale de Montréal est employée par un tiers qui fournit des services à un ouvrage fédéral et n’exploite pas l’ouvrage fédéral lui-même, la compétence directe ne s’applique pas. Le </w:t>
      </w:r>
      <w:r w:rsidRPr="00B24801">
        <w:rPr>
          <w:rFonts w:eastAsia="Calibri" w:cs="Times New Roman"/>
        </w:rPr>
        <w:t>Parlement a déclaré que les silos à grains constituent des ouvrages fédéraux. Il n’a pas déclaré que tous les services fournis par des tiers en lien avec ces silos sont aussi des ouvrages fédéraux.</w:t>
      </w:r>
    </w:p>
    <w:p w14:paraId="1955AE61" w14:textId="77777777" w:rsidR="00B751E6" w:rsidRPr="00B24801" w:rsidRDefault="00B751E6" w:rsidP="00B751E6">
      <w:pPr>
        <w:pStyle w:val="Title3LevelTitre3Niveau"/>
        <w:rPr>
          <w:rFonts w:cs="Times New Roman"/>
        </w:rPr>
      </w:pPr>
      <w:r w:rsidRPr="00B24801">
        <w:rPr>
          <w:rFonts w:cs="Times New Roman"/>
        </w:rPr>
        <w:t xml:space="preserve">La succursale de Montréal relève de la compétence fédérale dérivée </w:t>
      </w:r>
    </w:p>
    <w:p w14:paraId="070F8334" w14:textId="77777777" w:rsidR="00B751E6" w:rsidRPr="00B24801" w:rsidRDefault="00B751E6" w:rsidP="00B751E6">
      <w:pPr>
        <w:pStyle w:val="ParaNoNdepar-AltN"/>
        <w:rPr>
          <w:rFonts w:cs="Times New Roman"/>
        </w:rPr>
      </w:pPr>
      <w:r w:rsidRPr="00B24801">
        <w:rPr>
          <w:rFonts w:cs="Times New Roman"/>
        </w:rPr>
        <w:t>Le Tribunal, la Cour supérieure et la Cour d’appel conviennent que les relations de travail de la succursale de Montréal relèvent de la compétence dérivée. Il y a un consensus dans les décisions : la succursale de Montréal fait partie intégrante de l’exploitation d’au moins un silo à grains au Québec</w:t>
      </w:r>
      <w:r w:rsidRPr="00B24801">
        <w:rPr>
          <w:rFonts w:eastAsia="Calibri" w:cs="Times New Roman"/>
        </w:rPr>
        <w:t xml:space="preserve">, et ces services étaient importants pour la succursale elle-même. </w:t>
      </w:r>
    </w:p>
    <w:p w14:paraId="79290BB3" w14:textId="77777777" w:rsidR="00B751E6" w:rsidRPr="00B24801" w:rsidRDefault="00B751E6" w:rsidP="00B751E6">
      <w:pPr>
        <w:pStyle w:val="ParaNoNdepar-AltN"/>
        <w:rPr>
          <w:rFonts w:cs="Times New Roman"/>
        </w:rPr>
      </w:pPr>
      <w:r w:rsidRPr="00B24801">
        <w:rPr>
          <w:rFonts w:cs="Times New Roman"/>
        </w:rPr>
        <w:t>Le PGQ porte ces deux conclusions en appel. Il fait valoir que le critère relatif à la compétence dérivée n’est pas respecté en l’espèce. Je ne suis pas de cet avis.</w:t>
      </w:r>
    </w:p>
    <w:p w14:paraId="36B2B981" w14:textId="77777777" w:rsidR="00B751E6" w:rsidRPr="00B24801" w:rsidRDefault="00B751E6" w:rsidP="00B751E6">
      <w:pPr>
        <w:pStyle w:val="ParaNoNdepar-AltN"/>
        <w:rPr>
          <w:rFonts w:cs="Times New Roman"/>
        </w:rPr>
      </w:pPr>
      <w:r w:rsidRPr="00B24801">
        <w:rPr>
          <w:rFonts w:cs="Times New Roman"/>
        </w:rPr>
        <w:t>Je conclus que la compétence dérivée s’applique. Les services de la succursale de Montréal sont fondamentaux, essentiels</w:t>
      </w:r>
      <w:r w:rsidRPr="00B24801">
        <w:rPr>
          <w:rFonts w:eastAsia="Calibri" w:cs="Times New Roman"/>
        </w:rPr>
        <w:t xml:space="preserve"> ou vitaux pour</w:t>
      </w:r>
      <w:r w:rsidRPr="00B24801">
        <w:rPr>
          <w:rFonts w:cs="Times New Roman"/>
        </w:rPr>
        <w:t xml:space="preserve"> son client principal, </w:t>
      </w:r>
      <w:proofErr w:type="spellStart"/>
      <w:r w:rsidRPr="00B24801">
        <w:rPr>
          <w:rFonts w:cs="Times New Roman"/>
        </w:rPr>
        <w:t>Viterra</w:t>
      </w:r>
      <w:proofErr w:type="spellEnd"/>
      <w:r w:rsidRPr="00B24801">
        <w:rPr>
          <w:rFonts w:cs="Times New Roman"/>
        </w:rPr>
        <w:t xml:space="preserve">, ainsi que pour les cinq autres silos à grains qui longent le fleuve Saint-Laurent. Il ressort également du dossier que ces services sont importants pour la succursale elle-même. </w:t>
      </w:r>
    </w:p>
    <w:p w14:paraId="01835DDD" w14:textId="77777777" w:rsidR="00B751E6" w:rsidRPr="00B24801" w:rsidRDefault="00B751E6" w:rsidP="00B751E6">
      <w:pPr>
        <w:pStyle w:val="ParaNoNdepar-AltN"/>
        <w:rPr>
          <w:rFonts w:cs="Times New Roman"/>
        </w:rPr>
      </w:pPr>
      <w:r w:rsidRPr="00B24801">
        <w:rPr>
          <w:rFonts w:cs="Times New Roman"/>
        </w:rPr>
        <w:lastRenderedPageBreak/>
        <w:t>Pour ce qui est de la première partie de l’analyse relative à la compétence dérivée, j’attire l’attention sur les conclusions du Tribunal concernant la relation opérationnelle entre la succursale de Montréal et l’ensemble de ses clients qui exploitent des silos à grains. Les exploitants de silos à grains sont chargés de recevoir et de décharger le grain directement sur les navires (</w:t>
      </w:r>
      <w:r w:rsidRPr="00B24801">
        <w:rPr>
          <w:rFonts w:cs="Times New Roman"/>
          <w:i/>
        </w:rPr>
        <w:t>Loi sur les grains du Canada</w:t>
      </w:r>
      <w:r w:rsidRPr="00B24801">
        <w:rPr>
          <w:rFonts w:cs="Times New Roman"/>
        </w:rPr>
        <w:t>, art. 2, « installation » ou « silo » et « installation terminale » ou « silo terminal »). Pour faciliter les transbordements vers les silos ou les navires, le grain est transporté en vrac et en grands volumes vers les silos à grains ou à partir de ceux-ci. Le Tribunal a conclu que le travail de la succursale de Montréal est essentiel à ce processus, car la seule façon de déterminer la nature et la qualité du grain chargé est de recueillir des échantillons pendant le processus de chargement. La norme consiste à le faire toutes les 2 000 tonnes métriques de grain, ce qui équivaut à prendre un échantillon et à l’analyser toutes les 30 à 60 minutes pendant le processus de chargement (par. 110</w:t>
      </w:r>
      <w:r w:rsidRPr="00B24801">
        <w:rPr>
          <w:rFonts w:cs="Times New Roman"/>
          <w:sz w:val="26"/>
        </w:rPr>
        <w:t xml:space="preserve">). </w:t>
      </w:r>
    </w:p>
    <w:p w14:paraId="27B48C27" w14:textId="77777777" w:rsidR="00B751E6" w:rsidRPr="00B24801" w:rsidRDefault="00B751E6" w:rsidP="00B751E6">
      <w:pPr>
        <w:pStyle w:val="ParaNoNdepar-AltN"/>
        <w:rPr>
          <w:rFonts w:cs="Times New Roman"/>
        </w:rPr>
      </w:pPr>
      <w:r w:rsidRPr="00B24801">
        <w:rPr>
          <w:rFonts w:cs="Times New Roman"/>
        </w:rPr>
        <w:t>Grâce à des analyses régulières, la succursale de Montréal peut aviser immédiatement les exploitants des silos à grains si des changements surviennent dans la nature et la qualité du grain à l’entrée ou à la sortie des silos ou lors du transbordement dans un navire. Cela fournit aux exploitants de silos à grains des renseignements en temps réel, ce qui leur permet de procéder rapidement à des ajustements ou à des corrections dans le chargement en vue de la conformité avec les spécifications requises par les acheteurs et la Commission (2021 QCTAT 1021, par. 34).</w:t>
      </w:r>
    </w:p>
    <w:p w14:paraId="547175BB" w14:textId="77777777" w:rsidR="00B751E6" w:rsidRPr="00B24801" w:rsidRDefault="00B751E6" w:rsidP="00B751E6">
      <w:pPr>
        <w:pStyle w:val="ParaNoNdepar-AltN"/>
        <w:rPr>
          <w:rFonts w:cs="Times New Roman"/>
        </w:rPr>
      </w:pPr>
      <w:r w:rsidRPr="00B24801">
        <w:rPr>
          <w:rFonts w:cs="Times New Roman"/>
        </w:rPr>
        <w:lastRenderedPageBreak/>
        <w:t xml:space="preserve">L’article 33 de la </w:t>
      </w:r>
      <w:r w:rsidRPr="00B24801">
        <w:rPr>
          <w:rFonts w:cs="Times New Roman"/>
          <w:i/>
        </w:rPr>
        <w:t>Loi sur les grains du Canada</w:t>
      </w:r>
      <w:r w:rsidRPr="00B24801">
        <w:rPr>
          <w:rFonts w:cs="Times New Roman"/>
        </w:rPr>
        <w:t xml:space="preserve"> prévoit qu’un « certificat d’inspection [doit être] établi lors du déchargement de grain d’une installation terminale ». Selon la preuve, les exploitants des silos à grains ne sont pas en mesure d’effectuer eux-mêmes l’inspection et le contrôle de la qualité, puisqu’ils ont besoin de l’autorisation de la Commission ainsi que de personnel qualifié pour l’inspection et l’analyse du grain (2021 QCTAT 1021, par. 113). Pour le grain vendu au Canada, la </w:t>
      </w:r>
      <w:r w:rsidRPr="00B24801">
        <w:rPr>
          <w:rFonts w:cs="Times New Roman"/>
          <w:i/>
        </w:rPr>
        <w:t xml:space="preserve">Loi sur </w:t>
      </w:r>
      <w:bookmarkStart w:id="27" w:name="_Hlk235519295"/>
      <w:r w:rsidRPr="00B24801">
        <w:rPr>
          <w:rFonts w:cs="Times New Roman"/>
          <w:i/>
        </w:rPr>
        <w:t xml:space="preserve">les grains du Canada </w:t>
      </w:r>
      <w:bookmarkEnd w:id="27"/>
      <w:r w:rsidRPr="00B24801">
        <w:rPr>
          <w:rFonts w:cs="Times New Roman"/>
        </w:rPr>
        <w:t>exige que l’inspection soit effectuée par un tiers autorisé, comme SGS. Et pour le grain vendu à l’extérieur du Canada, bien que les certificats requis pour l’exportation du grain doivent être obtenus auprès de la Commission canadienne des grains, les services de la succursale de Montréal sont aussi essentiels pour assurer l’obtention des certificats de la Commission. Comme la Commission n’effectue ses tests et analyses pour les certificats d’exportation qu’une fois la cargaison dans le navire, il y a un risque que le grain doive être déchargé s’il n’est pas conforme, ce qui a des répercussions financières considérables et peut avoir un impact sur les affaires avec les exportateurs de grains canadiens. Compte tenu de cela, le Tribunal a conclu que les exploitants des silos à grains dépendent de la succursale de Montréal pour effectuer des tests avant et pendant le chargement du grain afin de vérifier s’il est conforme aux normes, garantissant ainsi la certification du grain (par. 33, 37 et 39).</w:t>
      </w:r>
    </w:p>
    <w:p w14:paraId="1FBE69CE" w14:textId="77777777" w:rsidR="00B751E6" w:rsidRPr="00B24801" w:rsidRDefault="00B751E6" w:rsidP="00B751E6">
      <w:pPr>
        <w:pStyle w:val="ParaNoNdepar-AltN"/>
        <w:rPr>
          <w:rFonts w:cs="Times New Roman"/>
        </w:rPr>
      </w:pPr>
      <w:r w:rsidRPr="00B24801">
        <w:rPr>
          <w:rFonts w:cs="Times New Roman"/>
        </w:rPr>
        <w:t>Il est également permis aux exploitants de silos à grains titulaires d’une licence de faire le commerce du grain (</w:t>
      </w:r>
      <w:r w:rsidRPr="00B24801">
        <w:rPr>
          <w:rFonts w:cs="Times New Roman"/>
          <w:i/>
        </w:rPr>
        <w:t>Loi sur les grains du Canada</w:t>
      </w:r>
      <w:r w:rsidRPr="00B24801">
        <w:rPr>
          <w:rFonts w:cs="Times New Roman"/>
        </w:rPr>
        <w:t xml:space="preserve">, s.-al. 44b)(iii)). À ce titre, ils concluent des contrats avec des acheteurs. Les certificats de SGS </w:t>
      </w:r>
      <w:r w:rsidRPr="00B24801">
        <w:rPr>
          <w:rFonts w:cs="Times New Roman"/>
        </w:rPr>
        <w:lastRenderedPageBreak/>
        <w:t>permettent aux partenaires commerciaux de conclure leurs transactions avec certitude (2021 QCTAT 1021, par. 80). Ces certificats garantissent la nature et la qualité du produit et attestent sa conformité avec leurs contrats commerciaux. Ils garantissent aussi que les exigences de la Commission et celles de l’acheteur ont été satisfaites, en particulier concernant les tests devant être effectués, et que le produit livré est conforme à la commande (par. 81). Dans la présente affaire, la preuve a établi que les six silos à grains au Québec dépendent du travail de la succursale de Montréal pour obtenir les certificats nécessaires à la vente du grain et à son expédition. Sans certificats, le grain ne peut pas être acheminé (par. 111).</w:t>
      </w:r>
    </w:p>
    <w:p w14:paraId="66EDBDFA" w14:textId="77777777" w:rsidR="00B751E6" w:rsidRPr="00B24801" w:rsidRDefault="00B751E6" w:rsidP="00B751E6">
      <w:pPr>
        <w:pStyle w:val="ParaNoNdepar-AltN"/>
        <w:rPr>
          <w:rFonts w:cs="Times New Roman"/>
        </w:rPr>
      </w:pPr>
      <w:r w:rsidRPr="00B24801">
        <w:rPr>
          <w:rFonts w:cs="Times New Roman"/>
        </w:rPr>
        <w:t xml:space="preserve">Le Tribunal a également tiré un certain nombre de conclusions qui mettent en évidence l’intégration spécifique de la succursale à </w:t>
      </w:r>
      <w:proofErr w:type="spellStart"/>
      <w:r w:rsidRPr="00B24801">
        <w:rPr>
          <w:rFonts w:cs="Times New Roman"/>
        </w:rPr>
        <w:t>Viterra</w:t>
      </w:r>
      <w:proofErr w:type="spellEnd"/>
      <w:r w:rsidRPr="00B24801">
        <w:rPr>
          <w:rFonts w:cs="Times New Roman"/>
        </w:rPr>
        <w:t xml:space="preserve">. Le Tribunal a conclu que SGS est la seule société qui fournit ces services à </w:t>
      </w:r>
      <w:proofErr w:type="spellStart"/>
      <w:r w:rsidRPr="00B24801">
        <w:rPr>
          <w:rFonts w:cs="Times New Roman"/>
        </w:rPr>
        <w:t>Viterra</w:t>
      </w:r>
      <w:proofErr w:type="spellEnd"/>
      <w:r w:rsidRPr="00B24801">
        <w:rPr>
          <w:rFonts w:cs="Times New Roman"/>
        </w:rPr>
        <w:t xml:space="preserve">. Tous les inspecteurs et les agents de classement de la Division qui fournissent des services à </w:t>
      </w:r>
      <w:proofErr w:type="spellStart"/>
      <w:r w:rsidRPr="00B24801">
        <w:rPr>
          <w:rFonts w:cs="Times New Roman"/>
        </w:rPr>
        <w:t>Viterra</w:t>
      </w:r>
      <w:proofErr w:type="spellEnd"/>
      <w:r w:rsidRPr="00B24801">
        <w:rPr>
          <w:rFonts w:cs="Times New Roman"/>
        </w:rPr>
        <w:t xml:space="preserve"> (ou à l’un des six silos à grains au Québec) sont à l’emploi de la succursale de Montréal. </w:t>
      </w:r>
    </w:p>
    <w:p w14:paraId="499E1E39" w14:textId="77777777" w:rsidR="00B751E6" w:rsidRPr="00B24801" w:rsidRDefault="00B751E6" w:rsidP="00B751E6">
      <w:pPr>
        <w:pStyle w:val="ParaNoNdepar-AltN"/>
        <w:rPr>
          <w:rFonts w:cs="Times New Roman"/>
        </w:rPr>
      </w:pPr>
      <w:r w:rsidRPr="00B24801">
        <w:rPr>
          <w:rFonts w:cs="Times New Roman"/>
        </w:rPr>
        <w:t xml:space="preserve">Comme l’a conclu le Tribunal, la Division au Québec est chargée d’inspecter et de classer </w:t>
      </w:r>
      <w:r w:rsidRPr="00B24801">
        <w:rPr>
          <w:rFonts w:cs="Times New Roman"/>
          <w:i/>
        </w:rPr>
        <w:t>tous les grains</w:t>
      </w:r>
      <w:r w:rsidRPr="00B24801">
        <w:rPr>
          <w:rFonts w:cs="Times New Roman"/>
        </w:rPr>
        <w:t xml:space="preserve"> chez </w:t>
      </w:r>
      <w:proofErr w:type="spellStart"/>
      <w:r w:rsidRPr="00B24801">
        <w:rPr>
          <w:rFonts w:cs="Times New Roman"/>
        </w:rPr>
        <w:t>Viterra</w:t>
      </w:r>
      <w:proofErr w:type="spellEnd"/>
      <w:r w:rsidRPr="00B24801">
        <w:rPr>
          <w:rFonts w:cs="Times New Roman"/>
        </w:rPr>
        <w:t xml:space="preserve">. Les inspecteurs et les agents de classement dans la Division « assurent le contrôle de la nature et de la qualité </w:t>
      </w:r>
      <w:r w:rsidRPr="00B24801">
        <w:rPr>
          <w:rFonts w:cs="Times New Roman"/>
          <w:u w:val="single"/>
        </w:rPr>
        <w:t>de tous les grains chargés</w:t>
      </w:r>
      <w:r w:rsidRPr="00B24801">
        <w:rPr>
          <w:rFonts w:cs="Times New Roman"/>
        </w:rPr>
        <w:t xml:space="preserve"> dans les silos et les navires par le terminal à grains de Montréal, dont le volume d’activités est le plus important au Québec », et les employés de la Division « demeurent </w:t>
      </w:r>
      <w:r w:rsidRPr="00B24801">
        <w:rPr>
          <w:rFonts w:cs="Times New Roman"/>
          <w:u w:val="single"/>
        </w:rPr>
        <w:t>les seuls qualifiés</w:t>
      </w:r>
      <w:r w:rsidRPr="00B24801">
        <w:rPr>
          <w:rFonts w:cs="Times New Roman"/>
        </w:rPr>
        <w:t xml:space="preserve"> pour l’inspection et l’analyse des grains » au sein de la société (motifs de la C.S., par. 54 (je souligne)). En m’appuyant sur ces conclusions, je </w:t>
      </w:r>
      <w:r w:rsidRPr="00B24801">
        <w:rPr>
          <w:rFonts w:cs="Times New Roman"/>
        </w:rPr>
        <w:lastRenderedPageBreak/>
        <w:t xml:space="preserve">conclus que le grain ne peut être acheminé vers le silo à grains de </w:t>
      </w:r>
      <w:proofErr w:type="spellStart"/>
      <w:r w:rsidRPr="00B24801">
        <w:rPr>
          <w:rFonts w:cs="Times New Roman"/>
        </w:rPr>
        <w:t>Viterra</w:t>
      </w:r>
      <w:proofErr w:type="spellEnd"/>
      <w:r w:rsidRPr="00B24801">
        <w:rPr>
          <w:rFonts w:cs="Times New Roman"/>
        </w:rPr>
        <w:t xml:space="preserve"> ou à partir de celui-ci sans la succursale de Montréal.</w:t>
      </w:r>
    </w:p>
    <w:p w14:paraId="51FA5AF4" w14:textId="77777777" w:rsidR="00B751E6" w:rsidRPr="00B24801" w:rsidRDefault="00B751E6" w:rsidP="00B751E6">
      <w:pPr>
        <w:pStyle w:val="ParaNoNdepar-AltN"/>
        <w:rPr>
          <w:rFonts w:cs="Times New Roman"/>
        </w:rPr>
      </w:pPr>
      <w:r w:rsidRPr="00B24801">
        <w:rPr>
          <w:rFonts w:cs="Times New Roman"/>
        </w:rPr>
        <w:t xml:space="preserve">De plus, les employés de la succursale travaillent dans des laboratoires qui sont situés sur la propriété de </w:t>
      </w:r>
      <w:proofErr w:type="spellStart"/>
      <w:r w:rsidRPr="00B24801">
        <w:rPr>
          <w:rFonts w:cs="Times New Roman"/>
        </w:rPr>
        <w:t>Viterra</w:t>
      </w:r>
      <w:proofErr w:type="spellEnd"/>
      <w:r w:rsidRPr="00B24801">
        <w:rPr>
          <w:rFonts w:cs="Times New Roman"/>
        </w:rPr>
        <w:t xml:space="preserve">; ils sont presque constamment en contact et en communication avec leurs clients. SGS et </w:t>
      </w:r>
      <w:proofErr w:type="spellStart"/>
      <w:r w:rsidRPr="00B24801">
        <w:rPr>
          <w:rFonts w:cs="Times New Roman"/>
        </w:rPr>
        <w:t>Viterra</w:t>
      </w:r>
      <w:proofErr w:type="spellEnd"/>
      <w:r w:rsidRPr="00B24801">
        <w:rPr>
          <w:rFonts w:cs="Times New Roman"/>
        </w:rPr>
        <w:t xml:space="preserve"> communiquent environ toutes les 20 minutes. Sans les services de SGS, </w:t>
      </w:r>
      <w:proofErr w:type="spellStart"/>
      <w:r w:rsidRPr="00B24801">
        <w:rPr>
          <w:rFonts w:cs="Times New Roman"/>
        </w:rPr>
        <w:t>Viterra</w:t>
      </w:r>
      <w:proofErr w:type="spellEnd"/>
      <w:r w:rsidRPr="00B24801">
        <w:rPr>
          <w:rFonts w:cs="Times New Roman"/>
        </w:rPr>
        <w:t xml:space="preserve"> ne peut pas vendre le grain.</w:t>
      </w:r>
    </w:p>
    <w:p w14:paraId="0C803236" w14:textId="77777777" w:rsidR="00B751E6" w:rsidRPr="00B24801" w:rsidRDefault="00B751E6" w:rsidP="00B751E6">
      <w:pPr>
        <w:pStyle w:val="ParaNoNdepar-AltN"/>
        <w:rPr>
          <w:rFonts w:cs="Times New Roman"/>
        </w:rPr>
      </w:pPr>
      <w:r w:rsidRPr="00B24801">
        <w:rPr>
          <w:rFonts w:cs="Times New Roman"/>
        </w:rPr>
        <w:t xml:space="preserve">La question de savoir si une part du travail d’inspection et d’attribution de grades effectué par SGS sert les transactions commerciales de </w:t>
      </w:r>
      <w:proofErr w:type="spellStart"/>
      <w:r w:rsidRPr="00B24801">
        <w:rPr>
          <w:rFonts w:cs="Times New Roman"/>
        </w:rPr>
        <w:t>Viterra</w:t>
      </w:r>
      <w:proofErr w:type="spellEnd"/>
      <w:r w:rsidRPr="00B24801">
        <w:rPr>
          <w:rFonts w:cs="Times New Roman"/>
        </w:rPr>
        <w:t xml:space="preserve"> est sans importance quant à ma conclusion sur l’analyse relative à la compétence dérivée. Les activités de </w:t>
      </w:r>
      <w:proofErr w:type="spellStart"/>
      <w:r w:rsidRPr="00B24801">
        <w:rPr>
          <w:rFonts w:cs="Times New Roman"/>
        </w:rPr>
        <w:t>Viterra</w:t>
      </w:r>
      <w:proofErr w:type="spellEnd"/>
      <w:r w:rsidRPr="00B24801">
        <w:rPr>
          <w:rFonts w:cs="Times New Roman"/>
        </w:rPr>
        <w:t xml:space="preserve"> à titre d’exploitante de silos et de négociante en grains sont étroitement liées et ne peuvent pas facilement être séparées. La présente affaire ne s’apparente pas à l’affaire </w:t>
      </w:r>
      <w:r w:rsidRPr="00B24801">
        <w:rPr>
          <w:rFonts w:cs="Times New Roman"/>
          <w:i/>
        </w:rPr>
        <w:t>Ontario Hydro</w:t>
      </w:r>
      <w:r w:rsidRPr="00B24801">
        <w:rPr>
          <w:rFonts w:cs="Times New Roman"/>
        </w:rPr>
        <w:t xml:space="preserve">, où il existait une séparation matérielle et opérationnelle complète entre la centrale nucléaire (fédérale) et la centrale de production d’électricité (provinciale). Les activités de commerce du grain de </w:t>
      </w:r>
      <w:proofErr w:type="spellStart"/>
      <w:r w:rsidRPr="00B24801">
        <w:rPr>
          <w:rFonts w:cs="Times New Roman"/>
        </w:rPr>
        <w:t>Viterra</w:t>
      </w:r>
      <w:proofErr w:type="spellEnd"/>
      <w:r w:rsidRPr="00B24801">
        <w:rPr>
          <w:rFonts w:cs="Times New Roman"/>
        </w:rPr>
        <w:t xml:space="preserve"> font partie de l’exploitation d’un silo à grains conformément à son objectif commercial. De fait, les grains sont chargés sur des navires seulement lorsqu’ils ont été achetés par un acheteur, une activité qui a nécessairement lieu dans le contexte d’une transaction commerciale. SGS fournit à </w:t>
      </w:r>
      <w:proofErr w:type="spellStart"/>
      <w:r w:rsidRPr="00B24801">
        <w:rPr>
          <w:rFonts w:cs="Times New Roman"/>
        </w:rPr>
        <w:t>Viterra</w:t>
      </w:r>
      <w:proofErr w:type="spellEnd"/>
      <w:r w:rsidRPr="00B24801">
        <w:rPr>
          <w:rFonts w:cs="Times New Roman"/>
        </w:rPr>
        <w:t xml:space="preserve"> des services qui sont essentiels pour faire en sorte que les grains chargés sur les navires respectent les exigences réglementaires minimales de qualité des acheteurs de grain (</w:t>
      </w:r>
      <w:r w:rsidRPr="00B24801">
        <w:rPr>
          <w:rFonts w:cs="Times New Roman"/>
          <w:i/>
        </w:rPr>
        <w:t>Loi sur les grains du Canada</w:t>
      </w:r>
      <w:r w:rsidRPr="00B24801">
        <w:rPr>
          <w:rFonts w:cs="Times New Roman"/>
        </w:rPr>
        <w:t xml:space="preserve">, par. 16(1)). Le fait que les mêmes employés, utilisant les mêmes installations, réalisent des analyses </w:t>
      </w:r>
      <w:r w:rsidRPr="00B24801">
        <w:rPr>
          <w:rFonts w:cs="Times New Roman"/>
        </w:rPr>
        <w:lastRenderedPageBreak/>
        <w:t xml:space="preserve">supplémentaires sur les mêmes grains ne change pas la nature du travail que SGS effectue pour </w:t>
      </w:r>
      <w:proofErr w:type="spellStart"/>
      <w:r w:rsidRPr="00B24801">
        <w:rPr>
          <w:rFonts w:cs="Times New Roman"/>
        </w:rPr>
        <w:t>Viterra</w:t>
      </w:r>
      <w:proofErr w:type="spellEnd"/>
      <w:r w:rsidRPr="00B24801">
        <w:rPr>
          <w:rFonts w:cs="Times New Roman"/>
        </w:rPr>
        <w:t xml:space="preserve">. Comme j’ai conclu que la succursale de Montréal fournit des services qui sont essentiels pour </w:t>
      </w:r>
      <w:proofErr w:type="spellStart"/>
      <w:r w:rsidRPr="00B24801">
        <w:rPr>
          <w:rFonts w:cs="Times New Roman"/>
        </w:rPr>
        <w:t>Viterra</w:t>
      </w:r>
      <w:proofErr w:type="spellEnd"/>
      <w:r w:rsidRPr="00B24801">
        <w:rPr>
          <w:rFonts w:cs="Times New Roman"/>
        </w:rPr>
        <w:t xml:space="preserve"> en tant qu’exploitante de silos à grains au titre de la </w:t>
      </w:r>
      <w:r w:rsidRPr="00B24801">
        <w:rPr>
          <w:rFonts w:cs="Times New Roman"/>
          <w:i/>
        </w:rPr>
        <w:t>Loi sur les grains du Canada</w:t>
      </w:r>
      <w:r w:rsidRPr="00B24801">
        <w:rPr>
          <w:rFonts w:cs="Times New Roman"/>
        </w:rPr>
        <w:t xml:space="preserve">, l’analyse n’exige pas que les services fournis dans le cadre des activités commerciales de </w:t>
      </w:r>
      <w:proofErr w:type="spellStart"/>
      <w:r w:rsidRPr="00B24801">
        <w:rPr>
          <w:rFonts w:cs="Times New Roman"/>
        </w:rPr>
        <w:t>Viterra</w:t>
      </w:r>
      <w:proofErr w:type="spellEnd"/>
      <w:r w:rsidRPr="00B24801">
        <w:rPr>
          <w:rFonts w:cs="Times New Roman"/>
        </w:rPr>
        <w:t xml:space="preserve"> soient examinés séparément.</w:t>
      </w:r>
    </w:p>
    <w:p w14:paraId="2D1306DA" w14:textId="77777777" w:rsidR="00B751E6" w:rsidRPr="00B24801" w:rsidRDefault="00B751E6" w:rsidP="00B751E6">
      <w:pPr>
        <w:pStyle w:val="ParaNoNdepar-AltN"/>
        <w:rPr>
          <w:rFonts w:cs="Times New Roman"/>
        </w:rPr>
      </w:pPr>
      <w:r w:rsidRPr="00B24801">
        <w:rPr>
          <w:rFonts w:cs="Times New Roman"/>
        </w:rPr>
        <w:t xml:space="preserve">Les conclusions du Tribunal établissent clairement le degré de dépendance requis pour que la première partie du critère relatif à la compétence dérivée soit respectée. Les services fournis par la succursale de Montréal sont fondamentaux, </w:t>
      </w:r>
      <w:r w:rsidRPr="00B24801">
        <w:rPr>
          <w:rFonts w:eastAsia="Calibri" w:cs="Times New Roman"/>
        </w:rPr>
        <w:t xml:space="preserve">vitaux ou essentiels pour </w:t>
      </w:r>
      <w:proofErr w:type="spellStart"/>
      <w:r w:rsidRPr="00B24801">
        <w:rPr>
          <w:rFonts w:eastAsia="Calibri" w:cs="Times New Roman"/>
        </w:rPr>
        <w:t>Viterra</w:t>
      </w:r>
      <w:proofErr w:type="spellEnd"/>
      <w:r w:rsidRPr="00B24801">
        <w:rPr>
          <w:rFonts w:cs="Times New Roman"/>
        </w:rPr>
        <w:t xml:space="preserve">. </w:t>
      </w:r>
      <w:r w:rsidRPr="00B24801">
        <w:rPr>
          <w:rFonts w:eastAsia="Calibri" w:cs="Times New Roman"/>
        </w:rPr>
        <w:t xml:space="preserve">Je conviens également avec le Tribunal que ces conclusions illustrent aussi la façon dont la succursale est intégrée aux cinq autres silos, en plus de son intégration à </w:t>
      </w:r>
      <w:proofErr w:type="spellStart"/>
      <w:r w:rsidRPr="00B24801">
        <w:rPr>
          <w:rFonts w:eastAsia="Calibri" w:cs="Times New Roman"/>
        </w:rPr>
        <w:t>Viterra</w:t>
      </w:r>
      <w:proofErr w:type="spellEnd"/>
      <w:r w:rsidRPr="00B24801">
        <w:rPr>
          <w:rFonts w:eastAsia="Calibri" w:cs="Times New Roman"/>
        </w:rPr>
        <w:t>. Il ressort clairement du dossier qu’il existe des liens matériel et opérationnel étroits entre la succursale et l’ensemble des six silos. Comme l’a reconnu le</w:t>
      </w:r>
      <w:r w:rsidRPr="00B24801">
        <w:rPr>
          <w:rFonts w:eastAsia="Calibri" w:cs="Times New Roman"/>
          <w:lang w:bidi="en-US"/>
        </w:rPr>
        <w:t xml:space="preserve"> Tribunal, en raison de la position de chef de file de SGS dans le domaine de l’inspection des grains, les clients de celle-ci ne pourraient pas aisément se fier à d’autres inspecteurs</w:t>
      </w:r>
      <w:r w:rsidRPr="00B24801">
        <w:rPr>
          <w:rFonts w:cs="Times New Roman"/>
        </w:rPr>
        <w:t xml:space="preserve"> tiers autorisés pour effectuer</w:t>
      </w:r>
      <w:r w:rsidRPr="00B24801">
        <w:rPr>
          <w:rFonts w:eastAsia="Calibri" w:cs="Times New Roman"/>
          <w:lang w:bidi="en-US"/>
        </w:rPr>
        <w:t xml:space="preserve"> les services essentiels que fournit SGS (par. 131). De plus, en raison de la nature très réglementée de la relation entre la succursale </w:t>
      </w:r>
      <w:r w:rsidRPr="00B24801">
        <w:rPr>
          <w:rFonts w:eastAsia="Calibri" w:cs="Times New Roman"/>
        </w:rPr>
        <w:t xml:space="preserve">et ces silos au titre de la </w:t>
      </w:r>
      <w:r w:rsidRPr="00B24801">
        <w:rPr>
          <w:rFonts w:eastAsia="Calibri" w:cs="Times New Roman"/>
          <w:i/>
        </w:rPr>
        <w:t>Loi sur les grains du Canada</w:t>
      </w:r>
      <w:r w:rsidRPr="00B24801">
        <w:rPr>
          <w:rFonts w:cs="Times New Roman"/>
        </w:rPr>
        <w:t xml:space="preserve">, la manière dont la succursale inspecte et classifie le grain pour ses clients ne change pas d’un silo à l’autre. </w:t>
      </w:r>
      <w:r w:rsidRPr="00B24801">
        <w:rPr>
          <w:rFonts w:eastAsia="Calibri" w:cs="Times New Roman"/>
        </w:rPr>
        <w:t>Je partage l’opinion du Tribunal selon laquelle les s</w:t>
      </w:r>
      <w:r w:rsidRPr="00B24801">
        <w:rPr>
          <w:rFonts w:cs="Times New Roman"/>
        </w:rPr>
        <w:t xml:space="preserve">ix silos à grains dépendent tous des services de la succursale pour </w:t>
      </w:r>
      <w:r w:rsidRPr="00B24801">
        <w:rPr>
          <w:rFonts w:eastAsia="Calibri" w:cs="Times New Roman"/>
        </w:rPr>
        <w:t>faciliter l’acheminement du grain dans la province.</w:t>
      </w:r>
    </w:p>
    <w:p w14:paraId="4DFAACBD" w14:textId="77777777" w:rsidR="00B751E6" w:rsidRPr="00B24801" w:rsidRDefault="00B751E6" w:rsidP="00B751E6">
      <w:pPr>
        <w:pStyle w:val="ParaNoNdepar-AltN"/>
        <w:rPr>
          <w:rFonts w:cs="Times New Roman"/>
        </w:rPr>
      </w:pPr>
      <w:r w:rsidRPr="00B24801">
        <w:rPr>
          <w:rFonts w:cs="Times New Roman"/>
        </w:rPr>
        <w:lastRenderedPageBreak/>
        <w:t xml:space="preserve">Le critère relatif à la compétence dérivée exige en outre que les services fournis par la succursale de Montréal à </w:t>
      </w:r>
      <w:proofErr w:type="spellStart"/>
      <w:r w:rsidRPr="00B24801">
        <w:rPr>
          <w:rFonts w:cs="Times New Roman"/>
        </w:rPr>
        <w:t>Viterra</w:t>
      </w:r>
      <w:proofErr w:type="spellEnd"/>
      <w:r w:rsidRPr="00B24801">
        <w:rPr>
          <w:rFonts w:eastAsiaTheme="minorHAnsi" w:cs="Times New Roman"/>
          <w:lang w:bidi="en-US"/>
        </w:rPr>
        <w:t xml:space="preserve"> ou aux six silos à grains </w:t>
      </w:r>
      <w:r w:rsidRPr="00B24801">
        <w:rPr>
          <w:rFonts w:cs="Times New Roman"/>
        </w:rPr>
        <w:t>comptent pour « une part importante de son exploitation » (</w:t>
      </w:r>
      <w:r w:rsidRPr="00B24801">
        <w:rPr>
          <w:rFonts w:cs="Times New Roman"/>
          <w:i/>
          <w:iCs/>
        </w:rPr>
        <w:t>Tessier</w:t>
      </w:r>
      <w:r w:rsidRPr="00B24801">
        <w:rPr>
          <w:rFonts w:cs="Times New Roman"/>
          <w:iCs/>
        </w:rPr>
        <w:t>,</w:t>
      </w:r>
      <w:r w:rsidRPr="00B24801">
        <w:rPr>
          <w:rFonts w:cs="Times New Roman"/>
          <w:i/>
          <w:iCs/>
        </w:rPr>
        <w:t xml:space="preserve"> </w:t>
      </w:r>
      <w:r w:rsidRPr="00B24801">
        <w:rPr>
          <w:rFonts w:cs="Times New Roman"/>
        </w:rPr>
        <w:t>par. 51).</w:t>
      </w:r>
    </w:p>
    <w:p w14:paraId="24C1BCCF" w14:textId="77777777" w:rsidR="00B751E6" w:rsidRPr="00B24801" w:rsidRDefault="00B751E6" w:rsidP="00B751E6">
      <w:pPr>
        <w:pStyle w:val="ParaNoNdepar-AltN"/>
        <w:rPr>
          <w:rFonts w:cs="Times New Roman"/>
        </w:rPr>
      </w:pPr>
      <w:r w:rsidRPr="00B24801">
        <w:rPr>
          <w:rFonts w:cs="Times New Roman"/>
        </w:rPr>
        <w:t xml:space="preserve">En raison de la taille des opérations de </w:t>
      </w:r>
      <w:proofErr w:type="spellStart"/>
      <w:r w:rsidRPr="00B24801">
        <w:rPr>
          <w:rFonts w:cs="Times New Roman"/>
        </w:rPr>
        <w:t>Viterra</w:t>
      </w:r>
      <w:proofErr w:type="spellEnd"/>
      <w:r w:rsidRPr="00B24801">
        <w:rPr>
          <w:rFonts w:cs="Times New Roman"/>
        </w:rPr>
        <w:t xml:space="preserve">, et parce que la succursale de Montréal est la seule entreprise fournissant des services d’inspection à </w:t>
      </w:r>
      <w:proofErr w:type="spellStart"/>
      <w:r w:rsidRPr="00B24801">
        <w:rPr>
          <w:rFonts w:cs="Times New Roman"/>
        </w:rPr>
        <w:t>Viterra</w:t>
      </w:r>
      <w:proofErr w:type="spellEnd"/>
      <w:r w:rsidRPr="00B24801">
        <w:rPr>
          <w:rFonts w:cs="Times New Roman"/>
        </w:rPr>
        <w:t xml:space="preserve">, le Tribunal a conclu que le travail pour </w:t>
      </w:r>
      <w:proofErr w:type="spellStart"/>
      <w:r w:rsidRPr="00B24801">
        <w:rPr>
          <w:rFonts w:cs="Times New Roman"/>
        </w:rPr>
        <w:t>Viterra</w:t>
      </w:r>
      <w:proofErr w:type="spellEnd"/>
      <w:r w:rsidRPr="00B24801">
        <w:rPr>
          <w:rFonts w:cs="Times New Roman"/>
        </w:rPr>
        <w:t xml:space="preserve"> représente la majeure partie du travail de la succursale de Montréal (motifs de la C.S., par. 53; voir aussi 2021 QCTAT 1021, par. 78, 112, 125 et 137). </w:t>
      </w:r>
      <w:proofErr w:type="spellStart"/>
      <w:r w:rsidRPr="00B24801">
        <w:rPr>
          <w:rFonts w:cs="Times New Roman"/>
        </w:rPr>
        <w:t>Viterra</w:t>
      </w:r>
      <w:proofErr w:type="spellEnd"/>
      <w:r w:rsidRPr="00B24801">
        <w:rPr>
          <w:rFonts w:cs="Times New Roman"/>
        </w:rPr>
        <w:t xml:space="preserve"> a le plus grand volume d’activités au Québec. Elle a une capacité de 400 000 tonnes métriques et ses silos à grains peuvent stocker entre 200 et 4 000 tonnes métriques de grains (motifs de la C.A., par. 106). À ce sujet, le directeur de la succursale de Montréal, Victor Filipe, a affirmé ce qui suit lors de son témoignage : « . . . </w:t>
      </w:r>
      <w:proofErr w:type="spellStart"/>
      <w:r w:rsidRPr="00B24801">
        <w:rPr>
          <w:rFonts w:cs="Times New Roman"/>
        </w:rPr>
        <w:t>Viterra</w:t>
      </w:r>
      <w:proofErr w:type="spellEnd"/>
      <w:r w:rsidRPr="00B24801">
        <w:rPr>
          <w:rFonts w:cs="Times New Roman"/>
        </w:rPr>
        <w:t xml:space="preserve"> tient une place largement dominante eu égard aux activités de la succursale de SGS et [. . .] les employés de cette succursale œuvrent de manière constante auprès de </w:t>
      </w:r>
      <w:proofErr w:type="spellStart"/>
      <w:r w:rsidRPr="00B24801">
        <w:rPr>
          <w:rFonts w:cs="Times New Roman"/>
        </w:rPr>
        <w:t>Viterra</w:t>
      </w:r>
      <w:proofErr w:type="spellEnd"/>
      <w:r w:rsidRPr="00B24801">
        <w:rPr>
          <w:rFonts w:cs="Times New Roman"/>
        </w:rPr>
        <w:t xml:space="preserve">, les opérations s’y déroulant “à cent pour cent (100%) en tout temps”, les navires y étant desservis “à tous les jours” et “c’est le volume qui entre qui fait [qu’]on a beaucoup plus de travail chez </w:t>
      </w:r>
      <w:proofErr w:type="spellStart"/>
      <w:r w:rsidRPr="00B24801">
        <w:rPr>
          <w:rFonts w:cs="Times New Roman"/>
        </w:rPr>
        <w:t>Viterra</w:t>
      </w:r>
      <w:proofErr w:type="spellEnd"/>
      <w:r w:rsidRPr="00B24801">
        <w:rPr>
          <w:rFonts w:cs="Times New Roman"/>
        </w:rPr>
        <w:t xml:space="preserve"> que les autres” » (par. 106). À mon avis, il est clair que les services fournis à </w:t>
      </w:r>
      <w:proofErr w:type="spellStart"/>
      <w:r w:rsidRPr="00B24801">
        <w:rPr>
          <w:rFonts w:cs="Times New Roman"/>
        </w:rPr>
        <w:t>Viterra</w:t>
      </w:r>
      <w:proofErr w:type="spellEnd"/>
      <w:r w:rsidRPr="00B24801">
        <w:rPr>
          <w:rFonts w:cs="Times New Roman"/>
        </w:rPr>
        <w:t xml:space="preserve"> forment une partie prédominante des opérations de la succursale de Montréal.</w:t>
      </w:r>
    </w:p>
    <w:p w14:paraId="37750520" w14:textId="77777777" w:rsidR="00B751E6" w:rsidRPr="00B24801" w:rsidRDefault="00B751E6" w:rsidP="00B751E6">
      <w:pPr>
        <w:pStyle w:val="ParaNoNdepar-AltN"/>
        <w:rPr>
          <w:rFonts w:cs="Times New Roman"/>
        </w:rPr>
      </w:pPr>
      <w:r w:rsidRPr="00B24801">
        <w:rPr>
          <w:rFonts w:cs="Times New Roman"/>
        </w:rPr>
        <w:t xml:space="preserve">En outre, nul ne conteste que, au-delà de </w:t>
      </w:r>
      <w:proofErr w:type="spellStart"/>
      <w:r w:rsidRPr="00B24801">
        <w:rPr>
          <w:rFonts w:cs="Times New Roman"/>
        </w:rPr>
        <w:t>Viterra</w:t>
      </w:r>
      <w:proofErr w:type="spellEnd"/>
      <w:r w:rsidRPr="00B24801">
        <w:rPr>
          <w:rFonts w:cs="Times New Roman"/>
        </w:rPr>
        <w:t xml:space="preserve">, la succursale consacre 90 p. 100 de ses services aux six silos à grains, qui sont tous des ouvrages fédéraux. Seule une part négligeable du temps de la succursale est consacrée aux ouvrages ou aux </w:t>
      </w:r>
      <w:r w:rsidRPr="00B24801">
        <w:rPr>
          <w:rFonts w:cs="Times New Roman"/>
        </w:rPr>
        <w:lastRenderedPageBreak/>
        <w:t>entreprises de nature provinciale. Il ne s’agit pas d’une affaire où l’on pourrait craindre que la succursale de Montréal soit incorrectement considérée comme relevant du fédéral. Il n’y a absolument aucun risque que la présente analyse puisse « rendre fédérale une entreprise autrement locale » (</w:t>
      </w:r>
      <w:r w:rsidRPr="00B24801">
        <w:rPr>
          <w:rFonts w:cs="Times New Roman"/>
          <w:i/>
          <w:iCs/>
        </w:rPr>
        <w:t>Tessier</w:t>
      </w:r>
      <w:r w:rsidRPr="00B24801">
        <w:rPr>
          <w:rFonts w:cs="Times New Roman"/>
          <w:iCs/>
        </w:rPr>
        <w:t>,</w:t>
      </w:r>
      <w:r w:rsidRPr="00B24801">
        <w:rPr>
          <w:rFonts w:cs="Times New Roman"/>
          <w:i/>
          <w:iCs/>
        </w:rPr>
        <w:t xml:space="preserve"> </w:t>
      </w:r>
      <w:r w:rsidRPr="00B24801">
        <w:rPr>
          <w:rFonts w:cs="Times New Roman"/>
        </w:rPr>
        <w:t xml:space="preserve">par. 50). </w:t>
      </w:r>
    </w:p>
    <w:p w14:paraId="1F5271BF" w14:textId="77777777" w:rsidR="00B751E6" w:rsidRPr="00B24801" w:rsidRDefault="00B751E6" w:rsidP="00B751E6">
      <w:pPr>
        <w:pStyle w:val="ParaNoNdepar-AltN"/>
        <w:rPr>
          <w:rFonts w:cs="Times New Roman"/>
        </w:rPr>
      </w:pPr>
      <w:r w:rsidRPr="00B24801">
        <w:rPr>
          <w:rFonts w:cs="Times New Roman"/>
        </w:rPr>
        <w:t xml:space="preserve">Ces conclusions appuient toutes celles portant que la succursale de Montréal est complètement intégrée à sa principale cliente, </w:t>
      </w:r>
      <w:proofErr w:type="spellStart"/>
      <w:r w:rsidRPr="00B24801">
        <w:rPr>
          <w:rFonts w:cs="Times New Roman"/>
        </w:rPr>
        <w:t>Viterra</w:t>
      </w:r>
      <w:proofErr w:type="spellEnd"/>
      <w:r w:rsidRPr="00B24801">
        <w:rPr>
          <w:rFonts w:cs="Times New Roman"/>
        </w:rPr>
        <w:t xml:space="preserve">, ainsi qu’aux cinq autres silos à grains. Ces services sont importants pour la succursale elle-même (motifs de la C.S., par. 54; motifs de la C.A., par. 107). </w:t>
      </w:r>
    </w:p>
    <w:p w14:paraId="38E26D0D" w14:textId="77777777" w:rsidR="00B751E6" w:rsidRPr="00B24801" w:rsidRDefault="00B751E6" w:rsidP="00B751E6">
      <w:pPr>
        <w:pStyle w:val="ParaNoNdepar-AltN"/>
        <w:rPr>
          <w:rFonts w:cs="Times New Roman"/>
        </w:rPr>
      </w:pPr>
      <w:r w:rsidRPr="00B24801">
        <w:rPr>
          <w:rFonts w:cs="Times New Roman"/>
        </w:rPr>
        <w:t xml:space="preserve">Par conséquent, la présente affaire correspond à l’une des circonstances donnant lieu à l’application de la compétence dérivée reconnue dans l’arrêt </w:t>
      </w:r>
      <w:r w:rsidRPr="00B24801">
        <w:rPr>
          <w:rFonts w:cs="Times New Roman"/>
          <w:i/>
        </w:rPr>
        <w:t>Tessier :</w:t>
      </w:r>
      <w:r w:rsidRPr="00B24801">
        <w:rPr>
          <w:rFonts w:cs="Times New Roman"/>
        </w:rPr>
        <w:t xml:space="preserve"> une unité fonctionnelle distincte au sein d’une société plus large, qui consacre la principale et plus importante partie de son travail à un ouvrage ou une entreprise de nature fédérale (par. 49)</w:t>
      </w:r>
      <w:r w:rsidRPr="00B24801">
        <w:rPr>
          <w:rFonts w:cs="Times New Roman"/>
          <w:i/>
          <w:iCs/>
        </w:rPr>
        <w:t>.</w:t>
      </w:r>
      <w:r w:rsidRPr="00B24801">
        <w:rPr>
          <w:rFonts w:cs="Times New Roman"/>
        </w:rPr>
        <w:t xml:space="preserve"> Cette situation n’est pas la même que dans l’affaire </w:t>
      </w:r>
      <w:r w:rsidRPr="00B24801">
        <w:rPr>
          <w:rFonts w:cs="Times New Roman"/>
          <w:i/>
        </w:rPr>
        <w:t>Tessier</w:t>
      </w:r>
      <w:r w:rsidRPr="00B24801">
        <w:rPr>
          <w:rFonts w:cs="Times New Roman"/>
        </w:rPr>
        <w:t xml:space="preserve"> en tant que telle, où l’ouvrage de nature fédérale ne constituait qu’une partie minime d’une exploitation locale indivisible. En l’espèce, l’unité en question est distincte et vise presque exclusivement les silos à grains assujettis à la réglementation fédérale. </w:t>
      </w:r>
    </w:p>
    <w:p w14:paraId="617E5C32" w14:textId="77777777" w:rsidR="00B751E6" w:rsidRPr="00B24801" w:rsidRDefault="00B751E6" w:rsidP="00B751E6">
      <w:pPr>
        <w:pStyle w:val="ParaNoNdepar-AltN"/>
        <w:rPr>
          <w:rFonts w:cs="Times New Roman"/>
        </w:rPr>
      </w:pPr>
      <w:r w:rsidRPr="00B24801">
        <w:rPr>
          <w:rFonts w:cs="Times New Roman"/>
        </w:rPr>
        <w:t xml:space="preserve">Je souligne que pour en venir à cette conclusion, la Cour supérieure et la Cour d’appel ont toutes les deux jugé que le Tribunal avait commis une erreur en axant son analyse relative à l’intégration sur l’ensemble des six silos à grains, plutôt que sur </w:t>
      </w:r>
      <w:r w:rsidRPr="00B24801">
        <w:rPr>
          <w:rFonts w:cs="Times New Roman"/>
          <w:iCs/>
        </w:rPr>
        <w:t>un</w:t>
      </w:r>
      <w:r w:rsidRPr="00B24801">
        <w:rPr>
          <w:rFonts w:cs="Times New Roman"/>
          <w:i/>
          <w:iCs/>
        </w:rPr>
        <w:t xml:space="preserve"> seul</w:t>
      </w:r>
      <w:r w:rsidRPr="00B24801">
        <w:rPr>
          <w:rFonts w:cs="Times New Roman"/>
        </w:rPr>
        <w:t xml:space="preserve"> silo à grains. Elles se sont fondées sur l’arrêt </w:t>
      </w:r>
      <w:proofErr w:type="spellStart"/>
      <w:r w:rsidRPr="00B24801">
        <w:rPr>
          <w:rFonts w:cs="Times New Roman"/>
          <w:i/>
        </w:rPr>
        <w:t>Madysta</w:t>
      </w:r>
      <w:proofErr w:type="spellEnd"/>
      <w:r w:rsidRPr="00B24801">
        <w:rPr>
          <w:rFonts w:cs="Times New Roman"/>
        </w:rPr>
        <w:t xml:space="preserve">, au </w:t>
      </w:r>
      <w:proofErr w:type="spellStart"/>
      <w:r w:rsidRPr="00B24801">
        <w:rPr>
          <w:rFonts w:cs="Times New Roman"/>
        </w:rPr>
        <w:t>par</w:t>
      </w:r>
      <w:proofErr w:type="spellEnd"/>
      <w:r w:rsidRPr="00B24801">
        <w:rPr>
          <w:rFonts w:cs="Times New Roman"/>
        </w:rPr>
        <w:t xml:space="preserve">. 99, et sur l’arrêt </w:t>
      </w:r>
      <w:r w:rsidRPr="00B24801">
        <w:rPr>
          <w:rFonts w:cs="Times New Roman"/>
          <w:i/>
        </w:rPr>
        <w:lastRenderedPageBreak/>
        <w:t>Central Western</w:t>
      </w:r>
      <w:r w:rsidRPr="00B24801">
        <w:rPr>
          <w:rFonts w:cs="Times New Roman"/>
        </w:rPr>
        <w:t xml:space="preserve"> pour conclure qu’un ouvrage fédéral « identifiable et distinct » doit être un seul ouvrage.</w:t>
      </w:r>
    </w:p>
    <w:p w14:paraId="47A3C726" w14:textId="77777777" w:rsidR="00B751E6" w:rsidRPr="00B24801" w:rsidRDefault="00B751E6" w:rsidP="00B751E6">
      <w:pPr>
        <w:pStyle w:val="ParaNoNdepar-AltN"/>
        <w:rPr>
          <w:rFonts w:cs="Times New Roman"/>
        </w:rPr>
      </w:pPr>
      <w:r w:rsidRPr="00B24801">
        <w:rPr>
          <w:rFonts w:cs="Times New Roman"/>
        </w:rPr>
        <w:t xml:space="preserve">Je ne suis pas de cet avis. Selon moi, </w:t>
      </w:r>
      <w:bookmarkStart w:id="28" w:name="_Hlk227623846"/>
      <w:r w:rsidRPr="00B24801">
        <w:rPr>
          <w:rFonts w:cs="Times New Roman"/>
        </w:rPr>
        <w:t xml:space="preserve">une analyse relative à l’intégration pour les besoins de la compétence dérivée peut prendre en considération un ou plusieurs ouvrages ou entreprises de nature fédérale, à condition que la preuve soit suffisante pour établir l’intégration, comme il est énoncé plus tôt. </w:t>
      </w:r>
    </w:p>
    <w:bookmarkEnd w:id="28"/>
    <w:p w14:paraId="711BE69A" w14:textId="77777777" w:rsidR="00B751E6" w:rsidRPr="00B24801" w:rsidRDefault="00B751E6" w:rsidP="00B751E6">
      <w:pPr>
        <w:pStyle w:val="ParaNoNdepar-AltN"/>
        <w:rPr>
          <w:rFonts w:cs="Times New Roman"/>
        </w:rPr>
      </w:pPr>
      <w:r w:rsidRPr="00B24801">
        <w:rPr>
          <w:rFonts w:cs="Times New Roman"/>
        </w:rPr>
        <w:t xml:space="preserve">Cela est peut-être plus évident dans le </w:t>
      </w:r>
      <w:r w:rsidRPr="00B24801">
        <w:rPr>
          <w:rFonts w:cs="Times New Roman"/>
          <w:i/>
        </w:rPr>
        <w:t>Renvoi relatif aux débardeurs</w:t>
      </w:r>
      <w:r w:rsidRPr="00B24801">
        <w:rPr>
          <w:rFonts w:cs="Times New Roman"/>
        </w:rPr>
        <w:t>, où notre Cour a examiné les relations de travail de débardeurs qui travaillaient de façon interchangeable pour sept sociétés de transport maritime différentes. Même si les débardeurs travaillaient pour différentes entités liées aux bâtiments ou navires (</w:t>
      </w:r>
      <w:r w:rsidRPr="00B24801">
        <w:rPr>
          <w:rFonts w:cs="Times New Roman"/>
          <w:i/>
          <w:iCs/>
        </w:rPr>
        <w:t>shipping</w:t>
      </w:r>
      <w:r w:rsidRPr="00B24801">
        <w:rPr>
          <w:rFonts w:cs="Times New Roman"/>
        </w:rPr>
        <w:t xml:space="preserve">), un chef de compétence fédérale prévu au </w:t>
      </w:r>
      <w:proofErr w:type="spellStart"/>
      <w:r w:rsidRPr="00B24801">
        <w:rPr>
          <w:rFonts w:cs="Times New Roman"/>
        </w:rPr>
        <w:t>par</w:t>
      </w:r>
      <w:proofErr w:type="spellEnd"/>
      <w:r w:rsidRPr="00B24801">
        <w:rPr>
          <w:rFonts w:cs="Times New Roman"/>
        </w:rPr>
        <w:t xml:space="preserve">. 91(10) de la </w:t>
      </w:r>
      <w:r w:rsidRPr="00B24801">
        <w:rPr>
          <w:rFonts w:cs="Times New Roman"/>
          <w:i/>
        </w:rPr>
        <w:t>Loi constitutionnelle de 1867</w:t>
      </w:r>
      <w:r w:rsidRPr="00B24801">
        <w:rPr>
          <w:rFonts w:cs="Times New Roman"/>
        </w:rPr>
        <w:t>, ils travaillaient tous pour une entreprise « identifiable et distincte ». Après avoir conclu que les débardeurs exerçaient une fonction fédérale essentielle en matière de transport et qu’ils faisaient partie intégrante de l’exploitation de sept sociétés affectées à la compétence fédérale en matière de navigation et bâtiments ou navires (</w:t>
      </w:r>
      <w:r w:rsidRPr="00B24801">
        <w:rPr>
          <w:rFonts w:cs="Times New Roman"/>
          <w:i/>
          <w:iCs/>
        </w:rPr>
        <w:t>shipping</w:t>
      </w:r>
      <w:r w:rsidRPr="00B24801">
        <w:rPr>
          <w:rFonts w:cs="Times New Roman"/>
        </w:rPr>
        <w:t xml:space="preserve">), les juges majoritaires ont conclu que la compétence fédérale devait s’appliquer afin d’éviter la fragmentation de la réglementation visant ces travailleurs. </w:t>
      </w:r>
    </w:p>
    <w:p w14:paraId="566A8E11" w14:textId="77777777" w:rsidR="00B751E6" w:rsidRPr="00B24801" w:rsidRDefault="00B751E6" w:rsidP="00B751E6">
      <w:pPr>
        <w:pStyle w:val="ParaNoNdepar-AltN"/>
        <w:rPr>
          <w:rFonts w:cs="Times New Roman"/>
        </w:rPr>
      </w:pPr>
      <w:r w:rsidRPr="00B24801">
        <w:rPr>
          <w:rFonts w:cs="Times New Roman"/>
        </w:rPr>
        <w:t xml:space="preserve">L’exigence relative à « un ouvrage ou une entreprise identifiables et distincts », énoncée dans l’arrêt </w:t>
      </w:r>
      <w:r w:rsidRPr="00B24801">
        <w:rPr>
          <w:rFonts w:cs="Times New Roman"/>
          <w:i/>
        </w:rPr>
        <w:t>Central Western</w:t>
      </w:r>
      <w:r w:rsidRPr="00B24801">
        <w:rPr>
          <w:rFonts w:cs="Times New Roman"/>
        </w:rPr>
        <w:t xml:space="preserve">, ne porte pas sur le nombre d’ouvrages ou d’entreprises pris en compte dans l’analyse relative à l’intégration. Cette exigence </w:t>
      </w:r>
      <w:r w:rsidRPr="00B24801">
        <w:rPr>
          <w:rFonts w:cs="Times New Roman"/>
        </w:rPr>
        <w:lastRenderedPageBreak/>
        <w:t xml:space="preserve">vise plutôt à faire en sorte que l’analyse ne repose pas sur un secteur ou un ensemble d’ouvrages ou d’entreprises mal défini, et qu’elle est plutôt ancrée dans un ouvrage ou une entreprise de nature </w:t>
      </w:r>
      <w:r w:rsidRPr="00B24801">
        <w:rPr>
          <w:rFonts w:cs="Times New Roman"/>
          <w:i/>
        </w:rPr>
        <w:t>incontestablement</w:t>
      </w:r>
      <w:r w:rsidRPr="00B24801">
        <w:rPr>
          <w:rFonts w:cs="Times New Roman"/>
        </w:rPr>
        <w:t xml:space="preserve"> </w:t>
      </w:r>
      <w:r w:rsidRPr="00B24801">
        <w:rPr>
          <w:rFonts w:cs="Times New Roman"/>
          <w:i/>
        </w:rPr>
        <w:t>fédérale</w:t>
      </w:r>
      <w:r w:rsidRPr="00B24801">
        <w:rPr>
          <w:rFonts w:cs="Times New Roman"/>
        </w:rPr>
        <w:t xml:space="preserve"> (p. 1143). </w:t>
      </w:r>
    </w:p>
    <w:p w14:paraId="50D90036" w14:textId="77777777" w:rsidR="00B751E6" w:rsidRPr="00B24801" w:rsidRDefault="00B751E6" w:rsidP="00B751E6">
      <w:pPr>
        <w:pStyle w:val="ParaNoNdepar-AltN"/>
        <w:rPr>
          <w:rFonts w:cs="Times New Roman"/>
        </w:rPr>
      </w:pPr>
      <w:r w:rsidRPr="00B24801">
        <w:rPr>
          <w:rFonts w:cs="Times New Roman"/>
        </w:rPr>
        <w:t xml:space="preserve">Dans l’arrêt </w:t>
      </w:r>
      <w:r w:rsidRPr="00B24801">
        <w:rPr>
          <w:rFonts w:cs="Times New Roman"/>
          <w:i/>
        </w:rPr>
        <w:t>Central Western</w:t>
      </w:r>
      <w:r w:rsidRPr="00B24801">
        <w:rPr>
          <w:rFonts w:cs="Times New Roman"/>
        </w:rPr>
        <w:t>, la question clé était de savoir si les employés de Central Western Railway Corp., une société de chemin de fer de l’Alberta, relevaient de la compétence fédérale ou provinciale. Bien que le juge en chef Dickson n’ait pas contesté le caractère identifiable ou distinct de la Compagnie des chemins de fer nationaux du Canada (une entreprise fédérale) ou des silos à grains de l’Alberta (des ouvrages fédéraux), il a conclu que le « réseau de transport du grain de l’Ouest », qui était une expression « fourre‑tout » englobant les chemins de fer, les wagons à grains, les organismes fédéraux et les silos à grains, était trop vague pour constituer une entreprise « identifiable et distincte » pour les besoins de son analyse relative à l’intégration (p. 1143). Cela risquait de transformer la compétence provinciale relative au transport du grain en compétence fédérale (p. 1144). Selon une interprétation juste, l’arrêt n’impose pas d’exigence de prise en compte d’un ouvrage ou d’une entreprise unique.</w:t>
      </w:r>
    </w:p>
    <w:p w14:paraId="2FE9EFE2" w14:textId="77777777" w:rsidR="00B751E6" w:rsidRPr="00B24801" w:rsidRDefault="00B751E6" w:rsidP="00B751E6">
      <w:pPr>
        <w:pStyle w:val="ParaNoNdepar-AltN"/>
        <w:rPr>
          <w:rFonts w:cs="Times New Roman"/>
        </w:rPr>
      </w:pPr>
      <w:r w:rsidRPr="00B24801">
        <w:rPr>
          <w:rFonts w:cs="Times New Roman"/>
        </w:rPr>
        <w:t xml:space="preserve">Dans la mesure où la Cour d’appel du Québec interprète différemment ces principes dans l’arrêt </w:t>
      </w:r>
      <w:proofErr w:type="spellStart"/>
      <w:r w:rsidRPr="00B24801">
        <w:rPr>
          <w:rFonts w:cs="Times New Roman"/>
          <w:i/>
        </w:rPr>
        <w:t>Madysta</w:t>
      </w:r>
      <w:proofErr w:type="spellEnd"/>
      <w:r w:rsidRPr="00B24801">
        <w:rPr>
          <w:rFonts w:cs="Times New Roman"/>
        </w:rPr>
        <w:t>, celui-ci est erroné en droit. Cette décision n’est pas conforme à la jurisprudence et entraîne des résultats arbitraires.</w:t>
      </w:r>
    </w:p>
    <w:p w14:paraId="3CA489E4" w14:textId="77777777" w:rsidR="00B751E6" w:rsidRPr="00B24801" w:rsidRDefault="00B751E6" w:rsidP="00B751E6">
      <w:pPr>
        <w:pStyle w:val="ParaNoNdepar-AltN"/>
        <w:rPr>
          <w:rFonts w:cs="Times New Roman"/>
        </w:rPr>
      </w:pPr>
      <w:r w:rsidRPr="00B24801">
        <w:rPr>
          <w:rFonts w:cs="Times New Roman"/>
        </w:rPr>
        <w:t xml:space="preserve">Il ne fait aucun doute que l’ouvrage ou l’entreprise en l’espèce a un caractère identifiable et distinct. Tous les silos à grains sont, collectivement et </w:t>
      </w:r>
      <w:r w:rsidRPr="00B24801">
        <w:rPr>
          <w:rFonts w:cs="Times New Roman"/>
        </w:rPr>
        <w:lastRenderedPageBreak/>
        <w:t xml:space="preserve">séparément, des ouvrages déclarés être à l’avantage général du Canada. Comme l’indique clairement le par. 55(1) de la </w:t>
      </w:r>
      <w:r w:rsidRPr="00B24801">
        <w:rPr>
          <w:rFonts w:cs="Times New Roman"/>
          <w:i/>
        </w:rPr>
        <w:t>Loi sur les grains du Canada :</w:t>
      </w:r>
      <w:r w:rsidRPr="00B24801">
        <w:rPr>
          <w:rFonts w:cs="Times New Roman"/>
        </w:rPr>
        <w:t xml:space="preserve"> « Toutes les installations du Canada, actuelles et futures [. . .], constituent, collectivement et séparément, des ouvrages à l’avantage général du Canada ». L’expression « constituent, collectivement et séparément » dans la version française, et les mots « </w:t>
      </w:r>
      <w:r w:rsidRPr="00B24801">
        <w:rPr>
          <w:rFonts w:cs="Times New Roman"/>
          <w:i/>
          <w:iCs/>
        </w:rPr>
        <w:t xml:space="preserve">are and </w:t>
      </w:r>
      <w:proofErr w:type="spellStart"/>
      <w:r w:rsidRPr="00B24801">
        <w:rPr>
          <w:rFonts w:cs="Times New Roman"/>
          <w:i/>
          <w:iCs/>
        </w:rPr>
        <w:t>each</w:t>
      </w:r>
      <w:proofErr w:type="spellEnd"/>
      <w:r w:rsidRPr="00B24801">
        <w:rPr>
          <w:rFonts w:cs="Times New Roman"/>
          <w:i/>
          <w:iCs/>
        </w:rPr>
        <w:t xml:space="preserve"> of </w:t>
      </w:r>
      <w:proofErr w:type="spellStart"/>
      <w:r w:rsidRPr="00B24801">
        <w:rPr>
          <w:rFonts w:cs="Times New Roman"/>
          <w:i/>
          <w:iCs/>
        </w:rPr>
        <w:t>them</w:t>
      </w:r>
      <w:proofErr w:type="spellEnd"/>
      <w:r w:rsidRPr="00B24801">
        <w:rPr>
          <w:rFonts w:cs="Times New Roman"/>
          <w:i/>
          <w:iCs/>
        </w:rPr>
        <w:t xml:space="preserve"> </w:t>
      </w:r>
      <w:proofErr w:type="spellStart"/>
      <w:r w:rsidRPr="00B24801">
        <w:rPr>
          <w:rFonts w:cs="Times New Roman"/>
          <w:i/>
          <w:iCs/>
        </w:rPr>
        <w:t>is</w:t>
      </w:r>
      <w:proofErr w:type="spellEnd"/>
      <w:r w:rsidRPr="00B24801">
        <w:rPr>
          <w:rFonts w:cs="Times New Roman"/>
        </w:rPr>
        <w:t> » dans la version anglaise, confirment que chaque silo à grains est un ouvrage (ou que plusieurs silos sont des ouvrages). Ils sont, collectivement et séparément, des ouvrages de nature fédérale.</w:t>
      </w:r>
    </w:p>
    <w:p w14:paraId="0F4AD309" w14:textId="77777777" w:rsidR="00B751E6" w:rsidRPr="00B24801" w:rsidRDefault="00B751E6" w:rsidP="00B751E6">
      <w:pPr>
        <w:pStyle w:val="ParaNoNdepar-AltN"/>
        <w:spacing w:before="240" w:after="240"/>
        <w:rPr>
          <w:rFonts w:eastAsia="Times New Roman" w:cs="Times New Roman"/>
        </w:rPr>
      </w:pPr>
      <w:r w:rsidRPr="00B24801">
        <w:rPr>
          <w:rFonts w:cs="Times New Roman"/>
        </w:rPr>
        <w:t>Je ne vois aucune raison de principe pour laquelle une entité qui travaille pour de multiples ouvrages fédéraux devrait être réglementée différemment d’une entité qui fournit des services à un seul ouvrage. La déclaration selon laquelle les silos à grains sont des ouvrages à l’avantage du Canada vise à assurer la cohérence et l’efficacité de la réglementation nationale des activités qui sont considérées nécessaires à l’économie canadienne. Cette compétence centralisée favorise le fonctionnement harmonieux, fiable et efficace de l’ouvrage fédéral et permet au gouvernement fédéral de s’assurer que ces ouvrages d’importance nationale sont exploités correctement, sans perturbation.</w:t>
      </w:r>
    </w:p>
    <w:p w14:paraId="448EC6A1" w14:textId="77777777" w:rsidR="00B751E6" w:rsidRPr="00B24801" w:rsidRDefault="00B751E6" w:rsidP="00B751E6">
      <w:pPr>
        <w:pStyle w:val="ParaNoNdepar-AltN"/>
        <w:spacing w:before="240" w:after="240"/>
        <w:rPr>
          <w:rFonts w:eastAsia="Times New Roman" w:cs="Times New Roman"/>
        </w:rPr>
      </w:pPr>
      <w:r w:rsidRPr="00B24801">
        <w:rPr>
          <w:rFonts w:cs="Times New Roman"/>
        </w:rPr>
        <w:t>En somme, dans le cadre d’une analyse relative à l’intégration, les tribunaux peuvent examiner un ou plusieurs ouvrages. Peu importe la façon dont cette analyse est structurée, il est essentiel qu’une preuve suffisante soit présentée à l’appui des éléments du critère.</w:t>
      </w:r>
    </w:p>
    <w:p w14:paraId="3466D778" w14:textId="77777777" w:rsidR="00B751E6" w:rsidRPr="00B24801" w:rsidRDefault="00B751E6" w:rsidP="00B751E6">
      <w:pPr>
        <w:pStyle w:val="ParaNoNdepar-AltN"/>
        <w:rPr>
          <w:rFonts w:cs="Times New Roman"/>
        </w:rPr>
      </w:pPr>
      <w:r w:rsidRPr="00B24801">
        <w:rPr>
          <w:rFonts w:cs="Times New Roman"/>
        </w:rPr>
        <w:lastRenderedPageBreak/>
        <w:t xml:space="preserve">Le PGQ soutient que la compétence dérivée exige une preuve qu’une très grande partie — environ 80 p. 100 — des services de la succursale de Montréal sont fournis à un ouvrage fédéral. Et comme SGS n’a pas présenté une preuve suffisante pour établir quelle proportion des services de la succursale est fournie à </w:t>
      </w:r>
      <w:proofErr w:type="spellStart"/>
      <w:r w:rsidRPr="00B24801">
        <w:rPr>
          <w:rFonts w:cs="Times New Roman"/>
        </w:rPr>
        <w:t>Viterra</w:t>
      </w:r>
      <w:proofErr w:type="spellEnd"/>
      <w:r w:rsidRPr="00B24801">
        <w:rPr>
          <w:rFonts w:cs="Times New Roman"/>
        </w:rPr>
        <w:t xml:space="preserve">, le PGQ fait valoir que la compétence dérivée ne peut s’appliquer. </w:t>
      </w:r>
    </w:p>
    <w:p w14:paraId="6864ED49" w14:textId="77777777" w:rsidR="00B751E6" w:rsidRPr="00B24801" w:rsidRDefault="00B751E6" w:rsidP="00B751E6">
      <w:pPr>
        <w:pStyle w:val="ParaNoNdepar-AltN"/>
        <w:rPr>
          <w:rFonts w:cs="Times New Roman"/>
        </w:rPr>
      </w:pPr>
      <w:r w:rsidRPr="00B24801">
        <w:rPr>
          <w:rFonts w:cs="Times New Roman"/>
        </w:rPr>
        <w:t>Je ne suis pas de cet avis. Bien qu’il soit important d’établir qu’une entité travaille principalement pour un ou plusieurs ouvrages ou entreprises de nature fédérale afin de déterminer si la compétence fédérale s’applique, notre Cour n’a jamais imposé de seuil précis. L’analyse demeure souple et axée sur les faits.</w:t>
      </w:r>
    </w:p>
    <w:p w14:paraId="02EFE96F" w14:textId="77777777" w:rsidR="00B751E6" w:rsidRPr="00B24801" w:rsidRDefault="00B751E6" w:rsidP="00B751E6">
      <w:pPr>
        <w:pStyle w:val="ParaNoNdepar-AltN"/>
        <w:rPr>
          <w:rFonts w:cs="Times New Roman"/>
        </w:rPr>
      </w:pPr>
      <w:r w:rsidRPr="00B24801">
        <w:rPr>
          <w:rFonts w:cs="Times New Roman"/>
        </w:rPr>
        <w:t>J’ajoute que la proposition du PGQ selon laquelle une grande partie du temps de l’entité doit toujours être intégrée à un seul ouvrage risque de donner lieu à des résultats absurdes. Si une entité devait diviser son temps également entre deux ouvrages ou entreprises — par exemple, deux sociétés de télécommunications — il s’ensuit, selon l’interprétation du PGQ, qu’elle ne devrait pas être assujettie à la compétence dérivée parce qu’elle n’est pas intégrée à un seul ouvrage. Mais cette conclusion accorde plus d’importance à la forme qu’au fond.</w:t>
      </w:r>
    </w:p>
    <w:p w14:paraId="48DAE79E" w14:textId="77777777" w:rsidR="00B751E6" w:rsidRPr="00B24801" w:rsidRDefault="00B751E6" w:rsidP="00B751E6">
      <w:pPr>
        <w:pStyle w:val="ParaNoNdepar-AltN"/>
        <w:rPr>
          <w:rFonts w:cs="Times New Roman"/>
        </w:rPr>
      </w:pPr>
      <w:r w:rsidRPr="00B24801">
        <w:rPr>
          <w:rFonts w:cs="Times New Roman"/>
        </w:rPr>
        <w:t xml:space="preserve">Étant donné que le travail de la succursale de Montréal est </w:t>
      </w:r>
      <w:r w:rsidRPr="00B24801">
        <w:rPr>
          <w:rFonts w:eastAsiaTheme="minorHAnsi" w:cs="Times New Roman"/>
          <w:lang w:bidi="en-US"/>
        </w:rPr>
        <w:t>f</w:t>
      </w:r>
      <w:r w:rsidRPr="00B24801">
        <w:rPr>
          <w:rFonts w:cs="Times New Roman"/>
        </w:rPr>
        <w:t>ondamental, vital ou essentiel pour les silos à grains au Québec, et que ce travail est important pour la succursale elle-même, je suis convaincue que la succursale de Montréal relève de la compétence fédérale dérivée.</w:t>
      </w:r>
    </w:p>
    <w:p w14:paraId="10F47D42" w14:textId="77777777" w:rsidR="00B751E6" w:rsidRPr="00B24801" w:rsidRDefault="00B751E6" w:rsidP="00B751E6">
      <w:pPr>
        <w:pStyle w:val="Title1LevelTitre1Niveau-AltL"/>
        <w:rPr>
          <w:rFonts w:cs="Times New Roman"/>
        </w:rPr>
      </w:pPr>
      <w:r w:rsidRPr="00B24801">
        <w:rPr>
          <w:rFonts w:cs="Times New Roman"/>
        </w:rPr>
        <w:lastRenderedPageBreak/>
        <w:t>Conclusion</w:t>
      </w:r>
    </w:p>
    <w:p w14:paraId="0E7603D4" w14:textId="77777777" w:rsidR="00B751E6" w:rsidRPr="00B24801" w:rsidRDefault="00B751E6" w:rsidP="00B751E6">
      <w:pPr>
        <w:pStyle w:val="ParaNoNdepar-AltN"/>
        <w:rPr>
          <w:rFonts w:cs="Times New Roman"/>
        </w:rPr>
      </w:pPr>
      <w:r w:rsidRPr="00B24801">
        <w:rPr>
          <w:rFonts w:cs="Times New Roman"/>
        </w:rPr>
        <w:t xml:space="preserve">Le </w:t>
      </w:r>
      <w:r w:rsidRPr="00B24801">
        <w:rPr>
          <w:rFonts w:cs="Times New Roman"/>
          <w:i/>
        </w:rPr>
        <w:t>Code du travail</w:t>
      </w:r>
      <w:r w:rsidRPr="00B24801">
        <w:rPr>
          <w:rFonts w:cs="Times New Roman"/>
        </w:rPr>
        <w:t xml:space="preserve"> du Québec ne s’applique pas aux employés composant l’unité de négociation, puisque ceux-ci relèvent de la compétence fédérale dérivée sur les travaux déclarés être pour l’avantage général du Canada, comme le prévoit l’al. 92(10)c) de la </w:t>
      </w:r>
      <w:r w:rsidRPr="00B24801">
        <w:rPr>
          <w:rFonts w:cs="Times New Roman"/>
          <w:i/>
        </w:rPr>
        <w:t>Loi constitutionnelle de 1867</w:t>
      </w:r>
      <w:r w:rsidRPr="00B24801">
        <w:rPr>
          <w:rFonts w:cs="Times New Roman"/>
        </w:rPr>
        <w:t>. Les instances inférieures n’ont commis aucune erreur en statuant que le Tribunal n’avait pas compétence sur la requête en accréditation.</w:t>
      </w:r>
    </w:p>
    <w:p w14:paraId="607D8DFE" w14:textId="4A5CE8EB" w:rsidR="007B47A0" w:rsidRDefault="00B751E6" w:rsidP="007B47A0">
      <w:pPr>
        <w:pStyle w:val="ParaNoNdepar-AltN"/>
        <w:rPr>
          <w:rFonts w:cs="Times New Roman"/>
        </w:rPr>
      </w:pPr>
      <w:r w:rsidRPr="00B24801">
        <w:rPr>
          <w:rFonts w:cs="Times New Roman"/>
        </w:rPr>
        <w:t>Je suis d’avis de rejeter l’appel avec dépens.</w:t>
      </w:r>
    </w:p>
    <w:p w14:paraId="3164F19E" w14:textId="0895FF90" w:rsidR="00764BA1" w:rsidRDefault="00764BA1">
      <w:pPr>
        <w:rPr>
          <w:rFonts w:eastAsiaTheme="minorEastAsia"/>
          <w:szCs w:val="22"/>
          <w:lang w:val="fr-CA" w:eastAsia="en-US"/>
        </w:rPr>
      </w:pPr>
      <w:r>
        <w:br w:type="page"/>
      </w:r>
    </w:p>
    <w:p w14:paraId="4BBD2908" w14:textId="77777777" w:rsidR="00D736BA" w:rsidRPr="00D736BA" w:rsidRDefault="00D736BA" w:rsidP="00D736BA">
      <w:pPr>
        <w:pStyle w:val="SCCNormalDoubleSpacing"/>
        <w:widowControl w:val="0"/>
        <w:spacing w:after="480"/>
        <w:rPr>
          <w:rStyle w:val="SCCCounselNameChar"/>
          <w:lang w:val="fr-CA"/>
        </w:rPr>
      </w:pPr>
      <w:r w:rsidRPr="00171330">
        <w:rPr>
          <w:rStyle w:val="SCCCounselNameChar"/>
          <w:lang w:val="fr-CA"/>
        </w:rPr>
        <w:lastRenderedPageBreak/>
        <w:tab/>
      </w:r>
      <w:r w:rsidRPr="00D736BA">
        <w:rPr>
          <w:lang w:val="fr-CA"/>
        </w:rPr>
        <w:t xml:space="preserve">Version française des motifs du juge en chef Wagner et des juges Côté, </w:t>
      </w:r>
      <w:proofErr w:type="spellStart"/>
      <w:r w:rsidRPr="00D736BA">
        <w:rPr>
          <w:lang w:val="fr-CA"/>
        </w:rPr>
        <w:t>Kasirer</w:t>
      </w:r>
      <w:proofErr w:type="spellEnd"/>
      <w:r w:rsidRPr="00D736BA">
        <w:rPr>
          <w:lang w:val="fr-CA"/>
        </w:rPr>
        <w:t xml:space="preserve"> et O’Bonsawin rendus par</w:t>
      </w:r>
    </w:p>
    <w:p w14:paraId="32DBF6FE" w14:textId="77777777" w:rsidR="00D736BA" w:rsidRDefault="00D736BA" w:rsidP="00D736BA">
      <w:pPr>
        <w:pStyle w:val="JudgeJuge"/>
        <w:spacing w:before="240"/>
      </w:pPr>
      <w:r w:rsidRPr="00D736BA">
        <w:tab/>
      </w:r>
      <w:r>
        <w:t xml:space="preserve">Le </w:t>
      </w:r>
      <w:r w:rsidRPr="00B24801">
        <w:t xml:space="preserve">juge Kasirer — </w:t>
      </w:r>
    </w:p>
    <w:tbl>
      <w:tblPr>
        <w:tblStyle w:val="Grilledutableau"/>
        <w:tblW w:w="8366" w:type="dxa"/>
        <w:tblLayout w:type="fixed"/>
        <w:tblLook w:val="04A0" w:firstRow="1" w:lastRow="0" w:firstColumn="1" w:lastColumn="0" w:noHBand="0" w:noVBand="1"/>
      </w:tblPr>
      <w:tblGrid>
        <w:gridCol w:w="7547"/>
        <w:gridCol w:w="819"/>
      </w:tblGrid>
      <w:tr w:rsidR="00204967" w14:paraId="65C1532F" w14:textId="77777777" w:rsidTr="009E6D25">
        <w:tc>
          <w:tcPr>
            <w:tcW w:w="16560" w:type="dxa"/>
            <w:gridSpan w:val="2"/>
            <w:tcBorders>
              <w:top w:val="nil"/>
              <w:left w:val="nil"/>
              <w:bottom w:val="nil"/>
              <w:right w:val="nil"/>
            </w:tcBorders>
          </w:tcPr>
          <w:p w14:paraId="3B9F3502" w14:textId="77777777" w:rsidR="00204967" w:rsidRDefault="00204967" w:rsidP="009E6D25">
            <w:pPr>
              <w:spacing w:before="60" w:after="60"/>
              <w:jc w:val="center"/>
              <w:rPr>
                <w:b/>
              </w:rPr>
            </w:pPr>
            <w:r>
              <w:rPr>
                <w:b/>
              </w:rPr>
              <w:t>TABLE DES MATIÈRES</w:t>
            </w:r>
          </w:p>
        </w:tc>
      </w:tr>
      <w:tr w:rsidR="00204967" w14:paraId="73836875" w14:textId="77777777" w:rsidTr="009E6D25">
        <w:tc>
          <w:tcPr>
            <w:tcW w:w="16560" w:type="dxa"/>
            <w:gridSpan w:val="2"/>
            <w:tcBorders>
              <w:top w:val="nil"/>
              <w:left w:val="nil"/>
              <w:bottom w:val="nil"/>
              <w:right w:val="nil"/>
            </w:tcBorders>
          </w:tcPr>
          <w:p w14:paraId="44A11A86" w14:textId="77777777" w:rsidR="00204967" w:rsidRDefault="00204967" w:rsidP="009E6D25">
            <w:pPr>
              <w:spacing w:before="60" w:after="60"/>
              <w:jc w:val="right"/>
            </w:pPr>
            <w:r>
              <w:t>Paragraphe</w:t>
            </w:r>
          </w:p>
        </w:tc>
      </w:tr>
      <w:tr w:rsidR="00204967" w14:paraId="625E3BB0" w14:textId="77777777" w:rsidTr="009E6D25">
        <w:tc>
          <w:tcPr>
            <w:tcW w:w="15135" w:type="dxa"/>
            <w:tcBorders>
              <w:top w:val="nil"/>
              <w:left w:val="nil"/>
              <w:bottom w:val="nil"/>
              <w:right w:val="nil"/>
            </w:tcBorders>
          </w:tcPr>
          <w:p w14:paraId="134B5248" w14:textId="77777777" w:rsidR="00204967" w:rsidRDefault="00204967" w:rsidP="00204967">
            <w:pPr>
              <w:pStyle w:val="TM1"/>
              <w:rPr>
                <w:rFonts w:eastAsiaTheme="minorEastAsia"/>
                <w:sz w:val="22"/>
                <w:szCs w:val="22"/>
                <w:u w:val="none"/>
                <w:lang w:eastAsia="fr-CA" w:bidi="ar-SA"/>
              </w:rPr>
            </w:pPr>
            <w:r>
              <w:rPr>
                <w:u w:val="none"/>
              </w:rPr>
              <w:t>I.</w:t>
            </w:r>
            <w:r>
              <w:rPr>
                <w:rFonts w:eastAsiaTheme="minorEastAsia"/>
                <w:sz w:val="22"/>
                <w:szCs w:val="22"/>
                <w:u w:val="none"/>
                <w:lang w:eastAsia="fr-CA" w:bidi="ar-SA"/>
              </w:rPr>
              <w:tab/>
            </w:r>
            <w:r>
              <w:t>Aperçu</w:t>
            </w:r>
          </w:p>
        </w:tc>
        <w:tc>
          <w:tcPr>
            <w:tcW w:w="1425" w:type="dxa"/>
            <w:tcBorders>
              <w:top w:val="nil"/>
              <w:left w:val="nil"/>
              <w:bottom w:val="nil"/>
              <w:right w:val="nil"/>
            </w:tcBorders>
          </w:tcPr>
          <w:p w14:paraId="4BA05EB6" w14:textId="77777777" w:rsidR="00204967" w:rsidRDefault="00204967" w:rsidP="00A236CA">
            <w:pPr>
              <w:tabs>
                <w:tab w:val="decimal" w:pos="8208"/>
              </w:tabs>
              <w:spacing w:before="60" w:after="60"/>
              <w:jc w:val="center"/>
            </w:pPr>
            <w:r>
              <w:fldChar w:fldCharType="begin"/>
            </w:r>
            <w:r>
              <w:instrText xml:space="preserve"> REF _Ref233980588 \n \h </w:instrText>
            </w:r>
            <w:r w:rsidR="00A236CA">
              <w:instrText xml:space="preserve"> \* MERGEFORMAT </w:instrText>
            </w:r>
            <w:r>
              <w:fldChar w:fldCharType="separate"/>
            </w:r>
            <w:r>
              <w:t>[123]</w:t>
            </w:r>
            <w:r>
              <w:fldChar w:fldCharType="end"/>
            </w:r>
          </w:p>
        </w:tc>
      </w:tr>
      <w:tr w:rsidR="00204967" w14:paraId="49C4159B" w14:textId="77777777" w:rsidTr="009E6D25">
        <w:tc>
          <w:tcPr>
            <w:tcW w:w="15135" w:type="dxa"/>
            <w:tcBorders>
              <w:top w:val="nil"/>
              <w:left w:val="nil"/>
              <w:bottom w:val="nil"/>
              <w:right w:val="nil"/>
            </w:tcBorders>
          </w:tcPr>
          <w:p w14:paraId="5424CB64" w14:textId="77777777" w:rsidR="00204967" w:rsidRDefault="00204967" w:rsidP="00204967">
            <w:pPr>
              <w:pStyle w:val="TM1"/>
              <w:rPr>
                <w:rFonts w:eastAsiaTheme="minorEastAsia"/>
                <w:sz w:val="22"/>
                <w:szCs w:val="22"/>
                <w:u w:val="none"/>
                <w:lang w:eastAsia="fr-CA" w:bidi="ar-SA"/>
              </w:rPr>
            </w:pPr>
            <w:r>
              <w:rPr>
                <w:u w:val="none"/>
              </w:rPr>
              <w:t>II.</w:t>
            </w:r>
            <w:r>
              <w:rPr>
                <w:rFonts w:eastAsiaTheme="minorEastAsia"/>
                <w:sz w:val="22"/>
                <w:szCs w:val="22"/>
                <w:u w:val="none"/>
                <w:lang w:eastAsia="fr-CA" w:bidi="ar-SA"/>
              </w:rPr>
              <w:tab/>
            </w:r>
            <w:r>
              <w:t>Contexte</w:t>
            </w:r>
          </w:p>
        </w:tc>
        <w:tc>
          <w:tcPr>
            <w:tcW w:w="1425" w:type="dxa"/>
            <w:tcBorders>
              <w:top w:val="nil"/>
              <w:left w:val="nil"/>
              <w:bottom w:val="nil"/>
              <w:right w:val="nil"/>
            </w:tcBorders>
          </w:tcPr>
          <w:p w14:paraId="229BB038" w14:textId="77777777" w:rsidR="00204967" w:rsidRDefault="00204967" w:rsidP="00A236CA">
            <w:pPr>
              <w:tabs>
                <w:tab w:val="decimal" w:pos="8208"/>
              </w:tabs>
              <w:spacing w:before="60" w:after="60"/>
              <w:jc w:val="center"/>
            </w:pPr>
            <w:r>
              <w:fldChar w:fldCharType="begin"/>
            </w:r>
            <w:r>
              <w:instrText xml:space="preserve"> REF _Ref233853069 \n \h </w:instrText>
            </w:r>
            <w:r w:rsidR="00A236CA">
              <w:instrText xml:space="preserve"> \* MERGEFORMAT </w:instrText>
            </w:r>
            <w:r>
              <w:fldChar w:fldCharType="separate"/>
            </w:r>
            <w:r>
              <w:t>[136]</w:t>
            </w:r>
            <w:r>
              <w:fldChar w:fldCharType="end"/>
            </w:r>
          </w:p>
        </w:tc>
      </w:tr>
      <w:tr w:rsidR="00204967" w14:paraId="160D1804" w14:textId="77777777" w:rsidTr="009E6D25">
        <w:tc>
          <w:tcPr>
            <w:tcW w:w="15135" w:type="dxa"/>
            <w:tcBorders>
              <w:top w:val="nil"/>
              <w:left w:val="nil"/>
              <w:bottom w:val="nil"/>
              <w:right w:val="nil"/>
            </w:tcBorders>
          </w:tcPr>
          <w:p w14:paraId="027DBD2B" w14:textId="77777777" w:rsidR="00204967" w:rsidRDefault="00204967" w:rsidP="00204967">
            <w:pPr>
              <w:pStyle w:val="TM1"/>
              <w:rPr>
                <w:rFonts w:eastAsiaTheme="minorEastAsia"/>
                <w:sz w:val="22"/>
                <w:szCs w:val="22"/>
                <w:u w:val="none"/>
                <w:lang w:eastAsia="fr-CA" w:bidi="ar-SA"/>
              </w:rPr>
            </w:pPr>
            <w:r>
              <w:rPr>
                <w:u w:val="none"/>
              </w:rPr>
              <w:t>III.</w:t>
            </w:r>
            <w:r>
              <w:rPr>
                <w:rFonts w:eastAsiaTheme="minorEastAsia"/>
                <w:sz w:val="22"/>
                <w:szCs w:val="22"/>
                <w:u w:val="none"/>
                <w:lang w:eastAsia="fr-CA" w:bidi="ar-SA"/>
              </w:rPr>
              <w:tab/>
            </w:r>
            <w:r>
              <w:t>Questions en appel</w:t>
            </w:r>
          </w:p>
        </w:tc>
        <w:tc>
          <w:tcPr>
            <w:tcW w:w="1425" w:type="dxa"/>
            <w:tcBorders>
              <w:top w:val="nil"/>
              <w:left w:val="nil"/>
              <w:bottom w:val="nil"/>
              <w:right w:val="nil"/>
            </w:tcBorders>
          </w:tcPr>
          <w:p w14:paraId="2CCED6A4" w14:textId="77777777" w:rsidR="00204967" w:rsidRDefault="00204967" w:rsidP="00A236CA">
            <w:pPr>
              <w:tabs>
                <w:tab w:val="decimal" w:pos="8208"/>
              </w:tabs>
              <w:spacing w:before="60" w:after="60"/>
              <w:jc w:val="center"/>
            </w:pPr>
            <w:r>
              <w:fldChar w:fldCharType="begin"/>
            </w:r>
            <w:r>
              <w:instrText xml:space="preserve"> REF _Ref242797375 \n \h </w:instrText>
            </w:r>
            <w:r w:rsidR="00A236CA">
              <w:instrText xml:space="preserve"> \* MERGEFORMAT </w:instrText>
            </w:r>
            <w:r>
              <w:fldChar w:fldCharType="separate"/>
            </w:r>
            <w:r>
              <w:t>[143]</w:t>
            </w:r>
            <w:r>
              <w:fldChar w:fldCharType="end"/>
            </w:r>
          </w:p>
        </w:tc>
      </w:tr>
      <w:tr w:rsidR="00204967" w14:paraId="43C7849B" w14:textId="77777777" w:rsidTr="009E6D25">
        <w:tc>
          <w:tcPr>
            <w:tcW w:w="15135" w:type="dxa"/>
            <w:tcBorders>
              <w:top w:val="nil"/>
              <w:left w:val="nil"/>
              <w:bottom w:val="nil"/>
              <w:right w:val="nil"/>
            </w:tcBorders>
          </w:tcPr>
          <w:p w14:paraId="0F5F120B" w14:textId="77777777" w:rsidR="00204967" w:rsidRDefault="00204967" w:rsidP="00204967">
            <w:pPr>
              <w:pStyle w:val="TM1"/>
              <w:rPr>
                <w:rFonts w:eastAsiaTheme="minorEastAsia"/>
                <w:sz w:val="22"/>
                <w:szCs w:val="22"/>
                <w:u w:val="none"/>
                <w:lang w:eastAsia="fr-CA" w:bidi="ar-SA"/>
              </w:rPr>
            </w:pPr>
            <w:r>
              <w:rPr>
                <w:u w:val="none"/>
              </w:rPr>
              <w:t>IV.</w:t>
            </w:r>
            <w:r>
              <w:rPr>
                <w:rFonts w:eastAsiaTheme="minorEastAsia"/>
                <w:sz w:val="22"/>
                <w:szCs w:val="22"/>
                <w:u w:val="none"/>
                <w:lang w:eastAsia="fr-CA" w:bidi="ar-SA"/>
              </w:rPr>
              <w:tab/>
            </w:r>
            <w:r>
              <w:t>Analyse</w:t>
            </w:r>
          </w:p>
        </w:tc>
        <w:tc>
          <w:tcPr>
            <w:tcW w:w="1425" w:type="dxa"/>
            <w:tcBorders>
              <w:top w:val="nil"/>
              <w:left w:val="nil"/>
              <w:bottom w:val="nil"/>
              <w:right w:val="nil"/>
            </w:tcBorders>
          </w:tcPr>
          <w:p w14:paraId="4D43F980" w14:textId="77777777" w:rsidR="00204967" w:rsidRDefault="00204967" w:rsidP="00A236CA">
            <w:pPr>
              <w:tabs>
                <w:tab w:val="decimal" w:pos="8208"/>
              </w:tabs>
              <w:spacing w:before="60" w:after="60"/>
              <w:jc w:val="center"/>
            </w:pPr>
            <w:r>
              <w:fldChar w:fldCharType="begin"/>
            </w:r>
            <w:r>
              <w:instrText xml:space="preserve"> REF _Ref242797604 \n \h </w:instrText>
            </w:r>
            <w:r w:rsidR="00A236CA">
              <w:instrText xml:space="preserve"> \* MERGEFORMAT </w:instrText>
            </w:r>
            <w:r>
              <w:fldChar w:fldCharType="separate"/>
            </w:r>
            <w:r>
              <w:t>[144]</w:t>
            </w:r>
            <w:r>
              <w:fldChar w:fldCharType="end"/>
            </w:r>
          </w:p>
        </w:tc>
      </w:tr>
      <w:tr w:rsidR="00204967" w14:paraId="259E09F8" w14:textId="77777777" w:rsidTr="009E6D25">
        <w:tc>
          <w:tcPr>
            <w:tcW w:w="15135" w:type="dxa"/>
            <w:tcBorders>
              <w:top w:val="nil"/>
              <w:left w:val="nil"/>
              <w:bottom w:val="nil"/>
              <w:right w:val="nil"/>
            </w:tcBorders>
          </w:tcPr>
          <w:p w14:paraId="583717BB" w14:textId="77777777" w:rsidR="00204967" w:rsidRDefault="00204967" w:rsidP="00204967">
            <w:pPr>
              <w:pStyle w:val="TM2"/>
              <w:rPr>
                <w:rFonts w:eastAsiaTheme="minorEastAsia"/>
                <w:noProof/>
                <w:sz w:val="22"/>
                <w:lang w:eastAsia="fr-CA" w:bidi="ar-SA"/>
              </w:rPr>
            </w:pPr>
            <w:r w:rsidRPr="009017FA">
              <w:rPr>
                <w:i w:val="0"/>
                <w:noProof/>
              </w:rPr>
              <w:t>A.</w:t>
            </w:r>
            <w:r>
              <w:rPr>
                <w:rFonts w:eastAsiaTheme="minorEastAsia"/>
                <w:noProof/>
                <w:sz w:val="22"/>
                <w:lang w:eastAsia="fr-CA" w:bidi="ar-SA"/>
              </w:rPr>
              <w:tab/>
            </w:r>
            <w:r>
              <w:rPr>
                <w:noProof/>
              </w:rPr>
              <w:t>Le pouvoir déclaratoire fédéral ne doit pas être interprété au-delà de ses limites inhérentes</w:t>
            </w:r>
          </w:p>
        </w:tc>
        <w:tc>
          <w:tcPr>
            <w:tcW w:w="1425" w:type="dxa"/>
            <w:tcBorders>
              <w:top w:val="nil"/>
              <w:left w:val="nil"/>
              <w:bottom w:val="nil"/>
              <w:right w:val="nil"/>
            </w:tcBorders>
          </w:tcPr>
          <w:p w14:paraId="54965093" w14:textId="77777777" w:rsidR="00204967" w:rsidRDefault="00204967" w:rsidP="00A236CA">
            <w:pPr>
              <w:tabs>
                <w:tab w:val="decimal" w:pos="8208"/>
              </w:tabs>
              <w:spacing w:before="60" w:after="60"/>
              <w:jc w:val="center"/>
              <w:rPr>
                <w:noProof/>
              </w:rPr>
            </w:pPr>
            <w:r>
              <w:rPr>
                <w:noProof/>
              </w:rPr>
              <w:fldChar w:fldCharType="begin"/>
            </w:r>
            <w:r>
              <w:rPr>
                <w:noProof/>
              </w:rPr>
              <w:instrText xml:space="preserve"> REF _Ref242797266 \n \h </w:instrText>
            </w:r>
            <w:r w:rsidR="00A236CA">
              <w:rPr>
                <w:noProof/>
              </w:rPr>
              <w:instrText xml:space="preserve"> \* MERGEFORMAT </w:instrText>
            </w:r>
            <w:r>
              <w:rPr>
                <w:noProof/>
              </w:rPr>
            </w:r>
            <w:r>
              <w:rPr>
                <w:noProof/>
              </w:rPr>
              <w:fldChar w:fldCharType="separate"/>
            </w:r>
            <w:r>
              <w:rPr>
                <w:noProof/>
              </w:rPr>
              <w:t>[145]</w:t>
            </w:r>
            <w:r>
              <w:rPr>
                <w:noProof/>
              </w:rPr>
              <w:fldChar w:fldCharType="end"/>
            </w:r>
          </w:p>
        </w:tc>
      </w:tr>
      <w:tr w:rsidR="00204967" w14:paraId="7534C4B9" w14:textId="77777777" w:rsidTr="009E6D25">
        <w:tc>
          <w:tcPr>
            <w:tcW w:w="15135" w:type="dxa"/>
            <w:tcBorders>
              <w:top w:val="nil"/>
              <w:left w:val="nil"/>
              <w:bottom w:val="nil"/>
              <w:right w:val="nil"/>
            </w:tcBorders>
          </w:tcPr>
          <w:p w14:paraId="3AF13E85" w14:textId="77777777" w:rsidR="00204967" w:rsidRDefault="00204967" w:rsidP="00204967">
            <w:pPr>
              <w:pStyle w:val="TM2"/>
              <w:rPr>
                <w:rFonts w:eastAsiaTheme="minorEastAsia"/>
                <w:noProof/>
                <w:sz w:val="22"/>
                <w:lang w:eastAsia="fr-CA" w:bidi="ar-SA"/>
              </w:rPr>
            </w:pPr>
            <w:r w:rsidRPr="009017FA">
              <w:rPr>
                <w:i w:val="0"/>
                <w:noProof/>
              </w:rPr>
              <w:t>B.</w:t>
            </w:r>
            <w:r>
              <w:rPr>
                <w:rFonts w:eastAsiaTheme="minorEastAsia"/>
                <w:noProof/>
                <w:sz w:val="22"/>
                <w:lang w:eastAsia="fr-CA" w:bidi="ar-SA"/>
              </w:rPr>
              <w:tab/>
            </w:r>
            <w:r>
              <w:rPr>
                <w:noProof/>
              </w:rPr>
              <w:t>La compétence fédérale en matière de relations de travail est une exception limitée à la présomption de compétence provinciale</w:t>
            </w:r>
          </w:p>
        </w:tc>
        <w:tc>
          <w:tcPr>
            <w:tcW w:w="1425" w:type="dxa"/>
            <w:tcBorders>
              <w:top w:val="nil"/>
              <w:left w:val="nil"/>
              <w:bottom w:val="nil"/>
              <w:right w:val="nil"/>
            </w:tcBorders>
          </w:tcPr>
          <w:p w14:paraId="53F83C79" w14:textId="77777777" w:rsidR="00204967" w:rsidRDefault="00204967" w:rsidP="00A236CA">
            <w:pPr>
              <w:tabs>
                <w:tab w:val="decimal" w:pos="8208"/>
              </w:tabs>
              <w:spacing w:before="60" w:after="60"/>
              <w:jc w:val="center"/>
              <w:rPr>
                <w:noProof/>
              </w:rPr>
            </w:pPr>
            <w:r>
              <w:rPr>
                <w:noProof/>
              </w:rPr>
              <w:fldChar w:fldCharType="begin"/>
            </w:r>
            <w:r>
              <w:rPr>
                <w:noProof/>
              </w:rPr>
              <w:instrText xml:space="preserve"> REF _Ref244763094 \r \h </w:instrText>
            </w:r>
            <w:r w:rsidR="00A236CA">
              <w:rPr>
                <w:noProof/>
              </w:rPr>
              <w:instrText xml:space="preserve"> \* MERGEFORMAT </w:instrText>
            </w:r>
            <w:r>
              <w:rPr>
                <w:noProof/>
              </w:rPr>
            </w:r>
            <w:r>
              <w:rPr>
                <w:noProof/>
              </w:rPr>
              <w:fldChar w:fldCharType="separate"/>
            </w:r>
            <w:r>
              <w:rPr>
                <w:noProof/>
              </w:rPr>
              <w:t>[152]</w:t>
            </w:r>
            <w:r>
              <w:rPr>
                <w:noProof/>
              </w:rPr>
              <w:fldChar w:fldCharType="end"/>
            </w:r>
          </w:p>
        </w:tc>
      </w:tr>
      <w:tr w:rsidR="00204967" w14:paraId="123A8A25" w14:textId="77777777" w:rsidTr="009E6D25">
        <w:tc>
          <w:tcPr>
            <w:tcW w:w="15135" w:type="dxa"/>
            <w:tcBorders>
              <w:top w:val="nil"/>
              <w:left w:val="nil"/>
              <w:bottom w:val="nil"/>
              <w:right w:val="nil"/>
            </w:tcBorders>
          </w:tcPr>
          <w:p w14:paraId="046BD416" w14:textId="77777777" w:rsidR="00204967" w:rsidRDefault="00204967" w:rsidP="00204967">
            <w:pPr>
              <w:pStyle w:val="TM2"/>
              <w:rPr>
                <w:rFonts w:eastAsiaTheme="minorEastAsia"/>
                <w:noProof/>
                <w:sz w:val="22"/>
                <w:lang w:eastAsia="fr-CA" w:bidi="ar-SA"/>
              </w:rPr>
            </w:pPr>
            <w:r w:rsidRPr="009017FA">
              <w:rPr>
                <w:i w:val="0"/>
                <w:noProof/>
              </w:rPr>
              <w:t>C.</w:t>
            </w:r>
            <w:r>
              <w:rPr>
                <w:rFonts w:eastAsiaTheme="minorEastAsia"/>
                <w:noProof/>
                <w:sz w:val="22"/>
                <w:lang w:eastAsia="fr-CA" w:bidi="ar-SA"/>
              </w:rPr>
              <w:tab/>
            </w:r>
            <w:r>
              <w:rPr>
                <w:noProof/>
              </w:rPr>
              <w:t>L’applicabilité de la compétence directe aux ouvrages fédéraux</w:t>
            </w:r>
          </w:p>
        </w:tc>
        <w:tc>
          <w:tcPr>
            <w:tcW w:w="1425" w:type="dxa"/>
            <w:tcBorders>
              <w:top w:val="nil"/>
              <w:left w:val="nil"/>
              <w:bottom w:val="nil"/>
              <w:right w:val="nil"/>
            </w:tcBorders>
          </w:tcPr>
          <w:p w14:paraId="37B4129B" w14:textId="77777777" w:rsidR="00204967" w:rsidRDefault="00204967" w:rsidP="00A236CA">
            <w:pPr>
              <w:tabs>
                <w:tab w:val="decimal" w:pos="8208"/>
              </w:tabs>
              <w:spacing w:before="60" w:after="60"/>
              <w:jc w:val="center"/>
              <w:rPr>
                <w:noProof/>
              </w:rPr>
            </w:pPr>
            <w:r>
              <w:rPr>
                <w:noProof/>
              </w:rPr>
              <w:fldChar w:fldCharType="begin"/>
            </w:r>
            <w:r>
              <w:rPr>
                <w:noProof/>
              </w:rPr>
              <w:instrText xml:space="preserve"> REF _Ref233556450 \r \h </w:instrText>
            </w:r>
            <w:r w:rsidR="00A236CA">
              <w:rPr>
                <w:noProof/>
              </w:rPr>
              <w:instrText xml:space="preserve"> \* MERGEFORMAT </w:instrText>
            </w:r>
            <w:r>
              <w:rPr>
                <w:noProof/>
              </w:rPr>
            </w:r>
            <w:r>
              <w:rPr>
                <w:noProof/>
              </w:rPr>
              <w:fldChar w:fldCharType="separate"/>
            </w:r>
            <w:r>
              <w:rPr>
                <w:noProof/>
              </w:rPr>
              <w:t>[158]</w:t>
            </w:r>
            <w:r>
              <w:rPr>
                <w:noProof/>
              </w:rPr>
              <w:fldChar w:fldCharType="end"/>
            </w:r>
          </w:p>
        </w:tc>
      </w:tr>
      <w:tr w:rsidR="00204967" w14:paraId="2D9A5C5B" w14:textId="77777777" w:rsidTr="009E6D25">
        <w:tc>
          <w:tcPr>
            <w:tcW w:w="15135" w:type="dxa"/>
            <w:tcBorders>
              <w:top w:val="nil"/>
              <w:left w:val="nil"/>
              <w:bottom w:val="nil"/>
              <w:right w:val="nil"/>
            </w:tcBorders>
          </w:tcPr>
          <w:p w14:paraId="6AD26C01" w14:textId="77777777" w:rsidR="00204967" w:rsidRDefault="00204967" w:rsidP="00204967">
            <w:pPr>
              <w:pStyle w:val="TM3"/>
              <w:rPr>
                <w:rFonts w:eastAsiaTheme="minorEastAsia"/>
                <w:sz w:val="22"/>
                <w:szCs w:val="22"/>
                <w:u w:val="none"/>
                <w:lang w:eastAsia="fr-CA" w:bidi="ar-SA"/>
              </w:rPr>
            </w:pPr>
            <w:r>
              <w:rPr>
                <w:u w:val="none"/>
              </w:rPr>
              <w:t>(1)</w:t>
            </w:r>
            <w:r>
              <w:rPr>
                <w:rFonts w:eastAsiaTheme="minorEastAsia"/>
                <w:sz w:val="22"/>
                <w:szCs w:val="22"/>
                <w:u w:val="none"/>
                <w:lang w:eastAsia="fr-CA" w:bidi="ar-SA"/>
              </w:rPr>
              <w:tab/>
            </w:r>
            <w:r>
              <w:t>Le Parlement exerce son pouvoir déclaratoire sur les ouvrages, et non sur les entreprises</w:t>
            </w:r>
          </w:p>
        </w:tc>
        <w:tc>
          <w:tcPr>
            <w:tcW w:w="1425" w:type="dxa"/>
            <w:tcBorders>
              <w:top w:val="nil"/>
              <w:left w:val="nil"/>
              <w:bottom w:val="nil"/>
              <w:right w:val="nil"/>
            </w:tcBorders>
          </w:tcPr>
          <w:p w14:paraId="258655E8" w14:textId="77777777" w:rsidR="00204967" w:rsidRDefault="00204967" w:rsidP="00A236CA">
            <w:pPr>
              <w:tabs>
                <w:tab w:val="decimal" w:pos="8208"/>
              </w:tabs>
              <w:spacing w:before="60" w:after="60"/>
              <w:jc w:val="center"/>
            </w:pPr>
            <w:r>
              <w:fldChar w:fldCharType="begin"/>
            </w:r>
            <w:r>
              <w:instrText xml:space="preserve"> REF _Ref233980668 \r \h </w:instrText>
            </w:r>
            <w:r w:rsidR="00A236CA">
              <w:instrText xml:space="preserve"> \* MERGEFORMAT </w:instrText>
            </w:r>
            <w:r>
              <w:fldChar w:fldCharType="separate"/>
            </w:r>
            <w:r>
              <w:t>[160]</w:t>
            </w:r>
            <w:r>
              <w:fldChar w:fldCharType="end"/>
            </w:r>
          </w:p>
        </w:tc>
      </w:tr>
      <w:tr w:rsidR="00204967" w14:paraId="2DBD9120" w14:textId="77777777" w:rsidTr="009E6D25">
        <w:tc>
          <w:tcPr>
            <w:tcW w:w="15135" w:type="dxa"/>
            <w:tcBorders>
              <w:top w:val="nil"/>
              <w:left w:val="nil"/>
              <w:bottom w:val="nil"/>
              <w:right w:val="nil"/>
            </w:tcBorders>
          </w:tcPr>
          <w:p w14:paraId="15D5D5F2" w14:textId="77777777" w:rsidR="00204967" w:rsidRDefault="00204967" w:rsidP="00204967">
            <w:pPr>
              <w:pStyle w:val="TM3"/>
              <w:rPr>
                <w:rFonts w:eastAsiaTheme="minorEastAsia"/>
                <w:sz w:val="22"/>
                <w:szCs w:val="22"/>
                <w:u w:val="none"/>
                <w:lang w:eastAsia="fr-CA" w:bidi="ar-SA"/>
              </w:rPr>
            </w:pPr>
            <w:r>
              <w:rPr>
                <w:u w:val="none"/>
              </w:rPr>
              <w:t>(2)</w:t>
            </w:r>
            <w:r>
              <w:rPr>
                <w:rFonts w:eastAsiaTheme="minorEastAsia"/>
                <w:sz w:val="22"/>
                <w:szCs w:val="22"/>
                <w:u w:val="none"/>
                <w:lang w:eastAsia="fr-CA" w:bidi="ar-SA"/>
              </w:rPr>
              <w:tab/>
            </w:r>
            <w:r>
              <w:t>La compétence directe en matière de relations de travail découle de l’exploitation d’un ouvrage fédéral</w:t>
            </w:r>
          </w:p>
        </w:tc>
        <w:tc>
          <w:tcPr>
            <w:tcW w:w="1425" w:type="dxa"/>
            <w:tcBorders>
              <w:top w:val="nil"/>
              <w:left w:val="nil"/>
              <w:bottom w:val="nil"/>
              <w:right w:val="nil"/>
            </w:tcBorders>
          </w:tcPr>
          <w:p w14:paraId="477D51F2" w14:textId="77777777" w:rsidR="00204967" w:rsidRDefault="00204967" w:rsidP="00A236CA">
            <w:pPr>
              <w:tabs>
                <w:tab w:val="decimal" w:pos="8208"/>
              </w:tabs>
              <w:spacing w:before="60" w:after="60"/>
              <w:jc w:val="center"/>
            </w:pPr>
            <w:r>
              <w:fldChar w:fldCharType="begin"/>
            </w:r>
            <w:r>
              <w:instrText xml:space="preserve"> REF _Ref233853157 \r \h </w:instrText>
            </w:r>
            <w:r w:rsidR="00A236CA">
              <w:instrText xml:space="preserve"> \* MERGEFORMAT </w:instrText>
            </w:r>
            <w:r>
              <w:fldChar w:fldCharType="separate"/>
            </w:r>
            <w:r>
              <w:t>[165]</w:t>
            </w:r>
            <w:r>
              <w:fldChar w:fldCharType="end"/>
            </w:r>
          </w:p>
        </w:tc>
      </w:tr>
      <w:tr w:rsidR="00204967" w14:paraId="50B15A9B" w14:textId="77777777" w:rsidTr="009E6D25">
        <w:tc>
          <w:tcPr>
            <w:tcW w:w="15135" w:type="dxa"/>
            <w:tcBorders>
              <w:top w:val="nil"/>
              <w:left w:val="nil"/>
              <w:bottom w:val="nil"/>
              <w:right w:val="nil"/>
            </w:tcBorders>
          </w:tcPr>
          <w:p w14:paraId="5C7534CA" w14:textId="77777777" w:rsidR="00204967" w:rsidRDefault="00204967" w:rsidP="00204967">
            <w:pPr>
              <w:pStyle w:val="TM2"/>
              <w:rPr>
                <w:rFonts w:eastAsiaTheme="minorEastAsia"/>
                <w:noProof/>
                <w:sz w:val="22"/>
                <w:lang w:eastAsia="fr-CA" w:bidi="ar-SA"/>
              </w:rPr>
            </w:pPr>
            <w:r w:rsidRPr="009017FA">
              <w:rPr>
                <w:i w:val="0"/>
                <w:noProof/>
              </w:rPr>
              <w:t>D.</w:t>
            </w:r>
            <w:r>
              <w:rPr>
                <w:rFonts w:eastAsiaTheme="minorEastAsia"/>
                <w:noProof/>
                <w:sz w:val="22"/>
                <w:lang w:eastAsia="fr-CA" w:bidi="ar-SA"/>
              </w:rPr>
              <w:tab/>
            </w:r>
            <w:r>
              <w:rPr>
                <w:noProof/>
              </w:rPr>
              <w:t>La compétence dérivée se limite aux entreprises provinciales qui perdent leur identité distincte du fait de leur intégration à une entreprise fédérale</w:t>
            </w:r>
          </w:p>
        </w:tc>
        <w:tc>
          <w:tcPr>
            <w:tcW w:w="1425" w:type="dxa"/>
            <w:tcBorders>
              <w:top w:val="nil"/>
              <w:left w:val="nil"/>
              <w:bottom w:val="nil"/>
              <w:right w:val="nil"/>
            </w:tcBorders>
          </w:tcPr>
          <w:p w14:paraId="1777241E" w14:textId="77777777" w:rsidR="00204967" w:rsidRDefault="00204967" w:rsidP="00A236CA">
            <w:pPr>
              <w:tabs>
                <w:tab w:val="decimal" w:pos="8208"/>
              </w:tabs>
              <w:spacing w:before="60" w:after="60"/>
              <w:jc w:val="center"/>
              <w:rPr>
                <w:noProof/>
              </w:rPr>
            </w:pPr>
            <w:r>
              <w:rPr>
                <w:noProof/>
              </w:rPr>
              <w:fldChar w:fldCharType="begin"/>
            </w:r>
            <w:r>
              <w:rPr>
                <w:noProof/>
              </w:rPr>
              <w:instrText xml:space="preserve"> REF _Ref244763148 \r \h </w:instrText>
            </w:r>
            <w:r w:rsidR="00A236CA">
              <w:rPr>
                <w:noProof/>
              </w:rPr>
              <w:instrText xml:space="preserve"> \* MERGEFORMAT </w:instrText>
            </w:r>
            <w:r>
              <w:rPr>
                <w:noProof/>
              </w:rPr>
            </w:r>
            <w:r>
              <w:rPr>
                <w:noProof/>
              </w:rPr>
              <w:fldChar w:fldCharType="separate"/>
            </w:r>
            <w:r>
              <w:rPr>
                <w:noProof/>
              </w:rPr>
              <w:t>[175]</w:t>
            </w:r>
            <w:r>
              <w:rPr>
                <w:noProof/>
              </w:rPr>
              <w:fldChar w:fldCharType="end"/>
            </w:r>
          </w:p>
        </w:tc>
      </w:tr>
      <w:tr w:rsidR="00204967" w14:paraId="643B3238" w14:textId="77777777" w:rsidTr="009E6D25">
        <w:tc>
          <w:tcPr>
            <w:tcW w:w="15135" w:type="dxa"/>
            <w:tcBorders>
              <w:top w:val="nil"/>
              <w:left w:val="nil"/>
              <w:bottom w:val="nil"/>
              <w:right w:val="nil"/>
            </w:tcBorders>
          </w:tcPr>
          <w:p w14:paraId="3EEDBFA1" w14:textId="77777777" w:rsidR="00204967" w:rsidRDefault="00204967" w:rsidP="00204967">
            <w:pPr>
              <w:pStyle w:val="TM1"/>
              <w:rPr>
                <w:rFonts w:eastAsiaTheme="minorEastAsia"/>
                <w:sz w:val="22"/>
                <w:szCs w:val="22"/>
                <w:u w:val="none"/>
                <w:lang w:eastAsia="fr-CA" w:bidi="ar-SA"/>
              </w:rPr>
            </w:pPr>
            <w:r>
              <w:rPr>
                <w:u w:val="none"/>
              </w:rPr>
              <w:t>V.</w:t>
            </w:r>
            <w:r>
              <w:rPr>
                <w:rFonts w:eastAsiaTheme="minorEastAsia"/>
                <w:sz w:val="22"/>
                <w:szCs w:val="22"/>
                <w:u w:val="none"/>
                <w:lang w:eastAsia="fr-CA" w:bidi="ar-SA"/>
              </w:rPr>
              <w:tab/>
            </w:r>
            <w:r>
              <w:t>Application</w:t>
            </w:r>
          </w:p>
        </w:tc>
        <w:tc>
          <w:tcPr>
            <w:tcW w:w="1425" w:type="dxa"/>
            <w:tcBorders>
              <w:top w:val="nil"/>
              <w:left w:val="nil"/>
              <w:bottom w:val="nil"/>
              <w:right w:val="nil"/>
            </w:tcBorders>
          </w:tcPr>
          <w:p w14:paraId="41DD5CBA" w14:textId="77777777" w:rsidR="00204967" w:rsidRDefault="00204967" w:rsidP="00A236CA">
            <w:pPr>
              <w:tabs>
                <w:tab w:val="decimal" w:pos="8208"/>
              </w:tabs>
              <w:spacing w:before="60" w:after="60"/>
              <w:jc w:val="center"/>
            </w:pPr>
            <w:r>
              <w:fldChar w:fldCharType="begin"/>
            </w:r>
            <w:r>
              <w:instrText xml:space="preserve"> REF _Ref244763159 \r \h </w:instrText>
            </w:r>
            <w:r w:rsidR="00A236CA">
              <w:instrText xml:space="preserve"> \* MERGEFORMAT </w:instrText>
            </w:r>
            <w:r>
              <w:fldChar w:fldCharType="separate"/>
            </w:r>
            <w:r>
              <w:t>[203]</w:t>
            </w:r>
            <w:r>
              <w:fldChar w:fldCharType="end"/>
            </w:r>
          </w:p>
        </w:tc>
      </w:tr>
      <w:tr w:rsidR="00204967" w14:paraId="76139152" w14:textId="77777777" w:rsidTr="009E6D25">
        <w:tc>
          <w:tcPr>
            <w:tcW w:w="15135" w:type="dxa"/>
            <w:tcBorders>
              <w:top w:val="nil"/>
              <w:left w:val="nil"/>
              <w:bottom w:val="nil"/>
              <w:right w:val="nil"/>
            </w:tcBorders>
          </w:tcPr>
          <w:p w14:paraId="4E0288B3" w14:textId="77777777" w:rsidR="00204967" w:rsidRDefault="00204967" w:rsidP="00204967">
            <w:pPr>
              <w:pStyle w:val="TM2"/>
              <w:rPr>
                <w:rFonts w:eastAsiaTheme="minorEastAsia"/>
                <w:noProof/>
                <w:sz w:val="22"/>
                <w:lang w:eastAsia="fr-CA" w:bidi="ar-SA"/>
              </w:rPr>
            </w:pPr>
            <w:r w:rsidRPr="009017FA">
              <w:rPr>
                <w:i w:val="0"/>
                <w:noProof/>
              </w:rPr>
              <w:t>A.</w:t>
            </w:r>
            <w:r>
              <w:rPr>
                <w:rFonts w:eastAsiaTheme="minorEastAsia"/>
                <w:noProof/>
                <w:sz w:val="22"/>
                <w:lang w:eastAsia="fr-CA" w:bidi="ar-SA"/>
              </w:rPr>
              <w:tab/>
            </w:r>
            <w:r>
              <w:rPr>
                <w:noProof/>
              </w:rPr>
              <w:t>Les relations de travail des employés concernés de SGS ne relèvent pas de la compétence fédérale directe</w:t>
            </w:r>
          </w:p>
        </w:tc>
        <w:tc>
          <w:tcPr>
            <w:tcW w:w="1425" w:type="dxa"/>
            <w:tcBorders>
              <w:top w:val="nil"/>
              <w:left w:val="nil"/>
              <w:bottom w:val="nil"/>
              <w:right w:val="nil"/>
            </w:tcBorders>
          </w:tcPr>
          <w:p w14:paraId="52432C9E" w14:textId="77777777" w:rsidR="00204967" w:rsidRDefault="00204967" w:rsidP="00A236CA">
            <w:pPr>
              <w:tabs>
                <w:tab w:val="decimal" w:pos="8208"/>
              </w:tabs>
              <w:spacing w:before="60" w:after="60"/>
              <w:jc w:val="center"/>
              <w:rPr>
                <w:noProof/>
              </w:rPr>
            </w:pPr>
            <w:r>
              <w:rPr>
                <w:noProof/>
              </w:rPr>
              <w:fldChar w:fldCharType="begin"/>
            </w:r>
            <w:r>
              <w:rPr>
                <w:noProof/>
              </w:rPr>
              <w:instrText xml:space="preserve"> REF _Ref244763169 \r \h </w:instrText>
            </w:r>
            <w:r w:rsidR="00A236CA">
              <w:rPr>
                <w:noProof/>
              </w:rPr>
              <w:instrText xml:space="preserve"> \* MERGEFORMAT </w:instrText>
            </w:r>
            <w:r>
              <w:rPr>
                <w:noProof/>
              </w:rPr>
            </w:r>
            <w:r>
              <w:rPr>
                <w:noProof/>
              </w:rPr>
              <w:fldChar w:fldCharType="separate"/>
            </w:r>
            <w:r>
              <w:rPr>
                <w:noProof/>
              </w:rPr>
              <w:t>[206]</w:t>
            </w:r>
            <w:r>
              <w:rPr>
                <w:noProof/>
              </w:rPr>
              <w:fldChar w:fldCharType="end"/>
            </w:r>
          </w:p>
        </w:tc>
      </w:tr>
      <w:tr w:rsidR="00204967" w14:paraId="566E19A7" w14:textId="77777777" w:rsidTr="009E6D25">
        <w:tc>
          <w:tcPr>
            <w:tcW w:w="15135" w:type="dxa"/>
            <w:tcBorders>
              <w:top w:val="nil"/>
              <w:left w:val="nil"/>
              <w:bottom w:val="nil"/>
              <w:right w:val="nil"/>
            </w:tcBorders>
          </w:tcPr>
          <w:p w14:paraId="67BAF484" w14:textId="77777777" w:rsidR="00204967" w:rsidRDefault="00204967" w:rsidP="00204967">
            <w:pPr>
              <w:pStyle w:val="TM2"/>
              <w:rPr>
                <w:rFonts w:eastAsiaTheme="minorEastAsia"/>
                <w:noProof/>
                <w:sz w:val="22"/>
                <w:lang w:eastAsia="fr-CA" w:bidi="ar-SA"/>
              </w:rPr>
            </w:pPr>
            <w:r w:rsidRPr="009017FA">
              <w:rPr>
                <w:i w:val="0"/>
                <w:noProof/>
              </w:rPr>
              <w:t>B.</w:t>
            </w:r>
            <w:r>
              <w:rPr>
                <w:rFonts w:eastAsiaTheme="minorEastAsia"/>
                <w:noProof/>
                <w:sz w:val="22"/>
                <w:lang w:eastAsia="fr-CA" w:bidi="ar-SA"/>
              </w:rPr>
              <w:tab/>
            </w:r>
            <w:r>
              <w:rPr>
                <w:noProof/>
              </w:rPr>
              <w:t>Les relations de travail des employés concernés de SGS ne relèvent pas de la compétence fédérale dérivée</w:t>
            </w:r>
          </w:p>
        </w:tc>
        <w:tc>
          <w:tcPr>
            <w:tcW w:w="1425" w:type="dxa"/>
            <w:tcBorders>
              <w:top w:val="nil"/>
              <w:left w:val="nil"/>
              <w:bottom w:val="nil"/>
              <w:right w:val="nil"/>
            </w:tcBorders>
          </w:tcPr>
          <w:p w14:paraId="0A43645E" w14:textId="77777777" w:rsidR="00204967" w:rsidRDefault="00204967" w:rsidP="00A236CA">
            <w:pPr>
              <w:tabs>
                <w:tab w:val="decimal" w:pos="8208"/>
              </w:tabs>
              <w:spacing w:before="60" w:after="60"/>
              <w:jc w:val="center"/>
              <w:rPr>
                <w:noProof/>
              </w:rPr>
            </w:pPr>
            <w:r>
              <w:rPr>
                <w:noProof/>
              </w:rPr>
              <w:fldChar w:fldCharType="begin"/>
            </w:r>
            <w:r>
              <w:rPr>
                <w:noProof/>
              </w:rPr>
              <w:instrText xml:space="preserve"> REF _Ref233556517 \r \h </w:instrText>
            </w:r>
            <w:r w:rsidR="00A236CA">
              <w:rPr>
                <w:noProof/>
              </w:rPr>
              <w:instrText xml:space="preserve"> \* MERGEFORMAT </w:instrText>
            </w:r>
            <w:r>
              <w:rPr>
                <w:noProof/>
              </w:rPr>
            </w:r>
            <w:r>
              <w:rPr>
                <w:noProof/>
              </w:rPr>
              <w:fldChar w:fldCharType="separate"/>
            </w:r>
            <w:r>
              <w:rPr>
                <w:noProof/>
              </w:rPr>
              <w:t>[215]</w:t>
            </w:r>
            <w:r>
              <w:rPr>
                <w:noProof/>
              </w:rPr>
              <w:fldChar w:fldCharType="end"/>
            </w:r>
          </w:p>
        </w:tc>
      </w:tr>
      <w:tr w:rsidR="00204967" w14:paraId="498C34FA" w14:textId="77777777" w:rsidTr="009E6D25">
        <w:tc>
          <w:tcPr>
            <w:tcW w:w="15135" w:type="dxa"/>
            <w:tcBorders>
              <w:top w:val="nil"/>
              <w:left w:val="nil"/>
              <w:bottom w:val="nil"/>
              <w:right w:val="nil"/>
            </w:tcBorders>
          </w:tcPr>
          <w:p w14:paraId="58DAFBA6" w14:textId="77777777" w:rsidR="00204967" w:rsidRDefault="00204967" w:rsidP="00204967">
            <w:pPr>
              <w:pStyle w:val="TM1"/>
              <w:rPr>
                <w:rFonts w:eastAsiaTheme="minorEastAsia"/>
                <w:sz w:val="22"/>
                <w:szCs w:val="22"/>
                <w:u w:val="none"/>
                <w:lang w:eastAsia="fr-CA" w:bidi="ar-SA"/>
              </w:rPr>
            </w:pPr>
            <w:r>
              <w:rPr>
                <w:u w:val="none"/>
              </w:rPr>
              <w:t>VI.</w:t>
            </w:r>
            <w:r>
              <w:rPr>
                <w:rFonts w:eastAsiaTheme="minorEastAsia"/>
                <w:sz w:val="22"/>
                <w:szCs w:val="22"/>
                <w:u w:val="none"/>
                <w:lang w:eastAsia="fr-CA" w:bidi="ar-SA"/>
              </w:rPr>
              <w:tab/>
            </w:r>
            <w:r>
              <w:t>Dispositif</w:t>
            </w:r>
          </w:p>
        </w:tc>
        <w:tc>
          <w:tcPr>
            <w:tcW w:w="1425" w:type="dxa"/>
            <w:tcBorders>
              <w:top w:val="nil"/>
              <w:left w:val="nil"/>
              <w:bottom w:val="nil"/>
              <w:right w:val="nil"/>
            </w:tcBorders>
          </w:tcPr>
          <w:p w14:paraId="63F5034B" w14:textId="77777777" w:rsidR="00204967" w:rsidRDefault="00204967" w:rsidP="00A236CA">
            <w:pPr>
              <w:tabs>
                <w:tab w:val="decimal" w:pos="8208"/>
              </w:tabs>
              <w:spacing w:before="60" w:after="60"/>
              <w:jc w:val="center"/>
            </w:pPr>
            <w:r>
              <w:fldChar w:fldCharType="begin"/>
            </w:r>
            <w:r>
              <w:instrText xml:space="preserve"> REF _Ref233556524 \r \h </w:instrText>
            </w:r>
            <w:r w:rsidR="00A236CA">
              <w:instrText xml:space="preserve"> \* MERGEFORMAT </w:instrText>
            </w:r>
            <w:r>
              <w:fldChar w:fldCharType="separate"/>
            </w:r>
            <w:r>
              <w:t>[237]</w:t>
            </w:r>
            <w:r>
              <w:fldChar w:fldCharType="end"/>
            </w:r>
          </w:p>
        </w:tc>
      </w:tr>
    </w:tbl>
    <w:p w14:paraId="22D947C5" w14:textId="77777777" w:rsidR="007B47A0" w:rsidRPr="00B24801" w:rsidRDefault="007B47A0" w:rsidP="007B47A0">
      <w:pPr>
        <w:pStyle w:val="Title1LevelTitre1Niveau-AltL"/>
        <w:numPr>
          <w:ilvl w:val="0"/>
          <w:numId w:val="32"/>
        </w:numPr>
        <w:spacing w:before="720" w:line="480" w:lineRule="auto"/>
        <w:jc w:val="both"/>
        <w:rPr>
          <w:rFonts w:cs="Times New Roman"/>
        </w:rPr>
      </w:pPr>
      <w:bookmarkStart w:id="29" w:name="_Toc231953037"/>
      <w:bookmarkStart w:id="30" w:name="_Toc232027320"/>
      <w:bookmarkStart w:id="31" w:name="_Toc232617594"/>
      <w:bookmarkStart w:id="32" w:name="_Toc233556335"/>
      <w:bookmarkStart w:id="33" w:name="_Toc233853027"/>
      <w:bookmarkStart w:id="34" w:name="_Toc233980566"/>
      <w:bookmarkStart w:id="35" w:name="_Toc242797526"/>
      <w:r w:rsidRPr="00B24801">
        <w:rPr>
          <w:rFonts w:cs="Times New Roman"/>
        </w:rPr>
        <w:t>Aperçu</w:t>
      </w:r>
      <w:bookmarkEnd w:id="29"/>
      <w:bookmarkEnd w:id="30"/>
      <w:bookmarkEnd w:id="31"/>
      <w:bookmarkEnd w:id="32"/>
      <w:bookmarkEnd w:id="33"/>
      <w:bookmarkEnd w:id="34"/>
      <w:bookmarkEnd w:id="35"/>
    </w:p>
    <w:p w14:paraId="04A30818" w14:textId="77777777" w:rsidR="007B47A0" w:rsidRPr="00B24801" w:rsidRDefault="007B47A0" w:rsidP="007B47A0">
      <w:pPr>
        <w:pStyle w:val="ParaNoNdepar-AltN"/>
        <w:rPr>
          <w:rFonts w:cs="Times New Roman"/>
        </w:rPr>
      </w:pPr>
      <w:bookmarkStart w:id="36" w:name="_Ref233853059"/>
      <w:bookmarkStart w:id="37" w:name="_Ref233980588"/>
      <w:r w:rsidRPr="00B24801">
        <w:rPr>
          <w:rFonts w:cs="Times New Roman"/>
        </w:rPr>
        <w:lastRenderedPageBreak/>
        <w:t xml:space="preserve">J’ai eu l’avantage de lire les motifs de ma collègue la juge Karakatsanis et, avec égards pour les opinions contraires, je suis d’avis d’accueillir le pourvoi, d’annuler les jugements de la Cour supérieure et de la Cour d’appel, de casser la décision du Tribunal administratif du travail, et de déclarer que l’accréditation du groupe concerné d’employés de SGS Canada </w:t>
      </w:r>
      <w:proofErr w:type="spellStart"/>
      <w:r w:rsidRPr="00B24801">
        <w:rPr>
          <w:rFonts w:cs="Times New Roman"/>
        </w:rPr>
        <w:t>inc.</w:t>
      </w:r>
      <w:proofErr w:type="spellEnd"/>
      <w:r w:rsidRPr="00B24801">
        <w:rPr>
          <w:rFonts w:cs="Times New Roman"/>
        </w:rPr>
        <w:t xml:space="preserve"> </w:t>
      </w:r>
      <w:bookmarkEnd w:id="36"/>
      <w:r w:rsidRPr="00B24801">
        <w:rPr>
          <w:rFonts w:cs="Times New Roman"/>
        </w:rPr>
        <w:t xml:space="preserve">est régie par le </w:t>
      </w:r>
      <w:r w:rsidRPr="00B24801">
        <w:rPr>
          <w:rFonts w:cs="Times New Roman"/>
          <w:i/>
        </w:rPr>
        <w:t>Code du travail</w:t>
      </w:r>
      <w:r w:rsidRPr="00B24801">
        <w:rPr>
          <w:rFonts w:cs="Times New Roman"/>
        </w:rPr>
        <w:t>, RLRQ, c. C-27, du Québec.</w:t>
      </w:r>
      <w:bookmarkEnd w:id="37"/>
    </w:p>
    <w:p w14:paraId="7D7A24AE" w14:textId="77777777" w:rsidR="007B47A0" w:rsidRPr="00B24801" w:rsidRDefault="007B47A0" w:rsidP="007B47A0">
      <w:pPr>
        <w:pStyle w:val="ParaNoNdepar-AltN"/>
        <w:tabs>
          <w:tab w:val="clear" w:pos="1152"/>
          <w:tab w:val="left" w:pos="1166"/>
        </w:tabs>
        <w:rPr>
          <w:rFonts w:cs="Times New Roman"/>
        </w:rPr>
      </w:pPr>
      <w:r w:rsidRPr="00B24801">
        <w:rPr>
          <w:rFonts w:cs="Times New Roman"/>
        </w:rPr>
        <w:t xml:space="preserve">Le présent pourvoi porte sur la question de la compétence constitutionnelle sur les relations de travail d’une entreprise de nature locale, compétence qui découle de l’exercice, par le Parlement, du pouvoir conféré par l’al. 92(10)c) de la </w:t>
      </w:r>
      <w:r w:rsidRPr="00B24801">
        <w:rPr>
          <w:rFonts w:cs="Times New Roman"/>
          <w:i/>
        </w:rPr>
        <w:t>Loi constitutionnelle de 1867</w:t>
      </w:r>
      <w:r w:rsidRPr="00B24801">
        <w:rPr>
          <w:rFonts w:cs="Times New Roman"/>
        </w:rPr>
        <w:t xml:space="preserve">, de déclarer que certains travaux (aussi appelés « ouvrages »), alors qu’ils sont entièrement situés dans une province, sont à l’« avantage général du Canada ». Selon le par. 55(1) de la </w:t>
      </w:r>
      <w:r w:rsidRPr="00B24801">
        <w:rPr>
          <w:rFonts w:cs="Times New Roman"/>
          <w:i/>
        </w:rPr>
        <w:t>Loi sur les grains du Canada</w:t>
      </w:r>
      <w:r w:rsidRPr="00B24801">
        <w:rPr>
          <w:rFonts w:cs="Times New Roman"/>
        </w:rPr>
        <w:t>, L.R.C. 1985, c. G-10, « [t]</w:t>
      </w:r>
      <w:proofErr w:type="spellStart"/>
      <w:r w:rsidRPr="00B24801">
        <w:rPr>
          <w:rFonts w:cs="Times New Roman"/>
        </w:rPr>
        <w:t>outes</w:t>
      </w:r>
      <w:proofErr w:type="spellEnd"/>
      <w:r w:rsidRPr="00B24801">
        <w:rPr>
          <w:rFonts w:cs="Times New Roman"/>
        </w:rPr>
        <w:t xml:space="preserve"> les installations [à grains] du Canada [. . .], collectivement et séparément, » sont du ressort du Parlement. La validité constitutionnelle de cette déclaration n’est pas en litige. Les parties ne s’entendent pas notamment sur la question de savoir si 14 employés de la succursale de SGS à Montréal sont visés par cette déclaration, ce qui soulève des questions d’interprétation législative et de partage constitutionnel des compétences. </w:t>
      </w:r>
    </w:p>
    <w:p w14:paraId="51DE2E9B" w14:textId="77777777" w:rsidR="007B47A0" w:rsidRPr="00B24801" w:rsidRDefault="007B47A0" w:rsidP="007B47A0">
      <w:pPr>
        <w:pStyle w:val="ParaNoNdepar-AltN"/>
        <w:tabs>
          <w:tab w:val="clear" w:pos="1152"/>
          <w:tab w:val="left" w:pos="1166"/>
        </w:tabs>
        <w:rPr>
          <w:rFonts w:cs="Times New Roman"/>
        </w:rPr>
      </w:pPr>
      <w:r w:rsidRPr="00B24801">
        <w:rPr>
          <w:rFonts w:cs="Times New Roman"/>
        </w:rPr>
        <w:t xml:space="preserve">À mon humble avis, les cours d’instance inférieure et le Tribunal se sont trompés sur la façon dont cette déclaration peut fonder la compétence fédérale sur les relations de travail dans une province, et ont donc rejeté à tort la requête en </w:t>
      </w:r>
      <w:r w:rsidRPr="00B24801">
        <w:rPr>
          <w:rFonts w:cs="Times New Roman"/>
        </w:rPr>
        <w:lastRenderedPageBreak/>
        <w:t xml:space="preserve">accréditation pour des motifs d’ordre constitutionnel. La déclaration ne confère pas au Parlement une compétence, qu’elle soit directe ou dérivée, sur les relations de travail de SGS en ce qui a trait aux employés chargés de l’inspection des grains. </w:t>
      </w:r>
    </w:p>
    <w:p w14:paraId="53AED2D7" w14:textId="77777777" w:rsidR="007B47A0" w:rsidRPr="00B24801" w:rsidRDefault="007B47A0" w:rsidP="007B47A0">
      <w:pPr>
        <w:pStyle w:val="ParaNoNdepar-AltN"/>
        <w:tabs>
          <w:tab w:val="clear" w:pos="1152"/>
          <w:tab w:val="left" w:pos="1166"/>
        </w:tabs>
        <w:rPr>
          <w:rFonts w:cs="Times New Roman"/>
        </w:rPr>
      </w:pPr>
      <w:r w:rsidRPr="00B24801">
        <w:rPr>
          <w:rFonts w:cs="Times New Roman"/>
        </w:rPr>
        <w:t>Au cœur du présent pourvoi se trouve la règle bien établie que le pouvoir de légiférer sur les relations de travail est présumé appartenir exclusivement aux provinces, selon la compétence législative en matière de propriété et de droits civils (</w:t>
      </w:r>
      <w:r w:rsidRPr="00B24801">
        <w:rPr>
          <w:rFonts w:cs="Times New Roman"/>
          <w:i/>
        </w:rPr>
        <w:t>Construction Montcalm Inc. c. Commission du salaire minimum</w:t>
      </w:r>
      <w:r w:rsidRPr="00B24801">
        <w:rPr>
          <w:rFonts w:cs="Times New Roman"/>
        </w:rPr>
        <w:t>, [1979] 1 R.C.S. 754, p. 768</w:t>
      </w:r>
      <w:bookmarkStart w:id="38" w:name="_Hlk233897142"/>
      <w:r w:rsidRPr="00B24801">
        <w:rPr>
          <w:rFonts w:cs="Times New Roman"/>
        </w:rPr>
        <w:t>;</w:t>
      </w:r>
      <w:r w:rsidRPr="00B24801">
        <w:rPr>
          <w:rFonts w:cs="Times New Roman"/>
          <w:i/>
        </w:rPr>
        <w:t xml:space="preserve"> Toronto Electric </w:t>
      </w:r>
      <w:proofErr w:type="spellStart"/>
      <w:r w:rsidRPr="00B24801">
        <w:rPr>
          <w:rFonts w:cs="Times New Roman"/>
          <w:i/>
        </w:rPr>
        <w:t>Com’rs</w:t>
      </w:r>
      <w:proofErr w:type="spellEnd"/>
      <w:r w:rsidRPr="00B24801">
        <w:rPr>
          <w:rFonts w:cs="Times New Roman"/>
          <w:i/>
        </w:rPr>
        <w:t xml:space="preserve"> c. Snider</w:t>
      </w:r>
      <w:r w:rsidRPr="00B24801">
        <w:rPr>
          <w:rFonts w:cs="Times New Roman"/>
        </w:rPr>
        <w:t xml:space="preserve">, [1925] 2 D.L.R. 5 (C.P.); </w:t>
      </w:r>
      <w:r w:rsidRPr="00B24801">
        <w:rPr>
          <w:rFonts w:cs="Times New Roman"/>
          <w:i/>
        </w:rPr>
        <w:t>Tessier Ltée c. Québec (Commission de la santé et de la sécurité du travail)</w:t>
      </w:r>
      <w:r w:rsidRPr="00B24801">
        <w:rPr>
          <w:rFonts w:cs="Times New Roman"/>
        </w:rPr>
        <w:t>, 2012 CSC 23, [2012] 2 R.C.S. 3, par. 11).</w:t>
      </w:r>
      <w:bookmarkEnd w:id="38"/>
      <w:r w:rsidRPr="00B24801">
        <w:rPr>
          <w:rFonts w:cs="Times New Roman"/>
        </w:rPr>
        <w:t xml:space="preserve"> Cette règle fait toutefois l’objet d’exceptions, qui découlent de la compétence soit « directe » ou « dérivée » du Parlement en matière de relations de travail à l’égard des pouvoirs fédéraux énumérés dans la </w:t>
      </w:r>
      <w:r w:rsidRPr="00B24801">
        <w:rPr>
          <w:rFonts w:cs="Times New Roman"/>
          <w:i/>
          <w:iCs/>
        </w:rPr>
        <w:t>Loi constitutionnelle de 1867</w:t>
      </w:r>
      <w:r w:rsidRPr="00B24801">
        <w:rPr>
          <w:rFonts w:cs="Times New Roman"/>
        </w:rPr>
        <w:t xml:space="preserve"> (</w:t>
      </w:r>
      <w:r w:rsidRPr="00B24801">
        <w:rPr>
          <w:rFonts w:cs="Times New Roman"/>
          <w:i/>
        </w:rPr>
        <w:t>Tessier</w:t>
      </w:r>
      <w:r w:rsidRPr="00B24801">
        <w:rPr>
          <w:rFonts w:cs="Times New Roman"/>
        </w:rPr>
        <w:t>, par. 17-18;</w:t>
      </w:r>
      <w:r w:rsidRPr="00B24801">
        <w:rPr>
          <w:rFonts w:cs="Times New Roman"/>
          <w:i/>
        </w:rPr>
        <w:t xml:space="preserve"> </w:t>
      </w:r>
      <w:r w:rsidRPr="00B24801">
        <w:rPr>
          <w:rFonts w:cs="Times New Roman"/>
        </w:rPr>
        <w:t xml:space="preserve">voir aussi </w:t>
      </w:r>
      <w:r w:rsidRPr="00B24801">
        <w:rPr>
          <w:rFonts w:cs="Times New Roman"/>
          <w:i/>
          <w:iCs/>
        </w:rPr>
        <w:t>Reference re</w:t>
      </w:r>
      <w:r w:rsidRPr="00B24801">
        <w:rPr>
          <w:rFonts w:cs="Times New Roman"/>
        </w:rPr>
        <w:t xml:space="preserve"> </w:t>
      </w:r>
      <w:proofErr w:type="spellStart"/>
      <w:r w:rsidRPr="00B24801">
        <w:rPr>
          <w:rFonts w:cs="Times New Roman"/>
          <w:i/>
        </w:rPr>
        <w:t>Industrial</w:t>
      </w:r>
      <w:proofErr w:type="spellEnd"/>
      <w:r w:rsidRPr="00B24801">
        <w:rPr>
          <w:rFonts w:cs="Times New Roman"/>
          <w:i/>
        </w:rPr>
        <w:t xml:space="preserve"> Relations and Disputes Investigation </w:t>
      </w:r>
      <w:proofErr w:type="spellStart"/>
      <w:r w:rsidRPr="00B24801">
        <w:rPr>
          <w:rFonts w:cs="Times New Roman"/>
          <w:i/>
        </w:rPr>
        <w:t>Act</w:t>
      </w:r>
      <w:proofErr w:type="spellEnd"/>
      <w:r w:rsidRPr="00B24801">
        <w:rPr>
          <w:rFonts w:cs="Times New Roman"/>
        </w:rPr>
        <w:t>, [1955] R.C.S. 529 (« </w:t>
      </w:r>
      <w:r w:rsidRPr="00B24801">
        <w:rPr>
          <w:rFonts w:cs="Times New Roman"/>
          <w:i/>
        </w:rPr>
        <w:t>Renvoi relatif aux débardeurs</w:t>
      </w:r>
      <w:r w:rsidRPr="00B24801">
        <w:rPr>
          <w:rFonts w:cs="Times New Roman"/>
        </w:rPr>
        <w:t> »), p. 564).</w:t>
      </w:r>
    </w:p>
    <w:p w14:paraId="74DB5679" w14:textId="77777777" w:rsidR="007B47A0" w:rsidRPr="00B24801" w:rsidRDefault="007B47A0" w:rsidP="007B47A0">
      <w:pPr>
        <w:pStyle w:val="ParaNoNdepar-AltN"/>
        <w:tabs>
          <w:tab w:val="clear" w:pos="1152"/>
          <w:tab w:val="left" w:pos="1166"/>
        </w:tabs>
        <w:rPr>
          <w:rFonts w:cs="Times New Roman"/>
        </w:rPr>
      </w:pPr>
      <w:bookmarkStart w:id="39" w:name="_Hlk233890469"/>
      <w:r w:rsidRPr="00B24801">
        <w:rPr>
          <w:rFonts w:cs="Times New Roman"/>
        </w:rPr>
        <w:t xml:space="preserve">Le pouvoir déclaratoire fédéral lui-même a été qualifié de pouvoir </w:t>
      </w:r>
      <w:r w:rsidRPr="00B24801">
        <w:rPr>
          <w:rFonts w:cs="Times New Roman"/>
          <w:smallCaps/>
        </w:rPr>
        <w:t>[traduction]</w:t>
      </w:r>
      <w:r w:rsidRPr="00B24801">
        <w:rPr>
          <w:rFonts w:cs="Times New Roman"/>
        </w:rPr>
        <w:t xml:space="preserve"> « extraordinaire » (N. Finkelstein, </w:t>
      </w:r>
      <w:proofErr w:type="spellStart"/>
      <w:r w:rsidRPr="00B24801">
        <w:rPr>
          <w:rFonts w:cs="Times New Roman"/>
          <w:i/>
        </w:rPr>
        <w:t>Laskin’s</w:t>
      </w:r>
      <w:proofErr w:type="spellEnd"/>
      <w:r w:rsidRPr="00B24801">
        <w:rPr>
          <w:rFonts w:cs="Times New Roman"/>
          <w:i/>
        </w:rPr>
        <w:t xml:space="preserve"> Canadian </w:t>
      </w:r>
      <w:proofErr w:type="spellStart"/>
      <w:r w:rsidRPr="00B24801">
        <w:rPr>
          <w:rFonts w:cs="Times New Roman"/>
          <w:i/>
        </w:rPr>
        <w:t>Constitutional</w:t>
      </w:r>
      <w:proofErr w:type="spellEnd"/>
      <w:r w:rsidRPr="00B24801">
        <w:rPr>
          <w:rFonts w:cs="Times New Roman"/>
          <w:i/>
        </w:rPr>
        <w:t xml:space="preserve"> Law</w:t>
      </w:r>
      <w:r w:rsidRPr="00B24801">
        <w:rPr>
          <w:rFonts w:cs="Times New Roman"/>
        </w:rPr>
        <w:t xml:space="preserve"> (5</w:t>
      </w:r>
      <w:r w:rsidRPr="00B24801">
        <w:rPr>
          <w:rFonts w:cs="Times New Roman"/>
          <w:vertAlign w:val="superscript"/>
        </w:rPr>
        <w:t xml:space="preserve">e </w:t>
      </w:r>
      <w:r w:rsidRPr="00B24801">
        <w:rPr>
          <w:rFonts w:cs="Times New Roman"/>
        </w:rPr>
        <w:t xml:space="preserve">éd. 1986), p. 627). À première vue, l’al. 92(10)c) confère au Parlement le pouvoir de « modifier [. . .], au détriment des législatures provinciales et sans leur consentement, la sphère de sa compétence législative relativement aux travaux » (A. Lajoie, </w:t>
      </w:r>
      <w:r w:rsidRPr="00B24801">
        <w:rPr>
          <w:rFonts w:cs="Times New Roman"/>
          <w:i/>
        </w:rPr>
        <w:t>Le pouvoir déclaratoire du Parlement : Augmentation discrétionnaire de la compétence fédérale au Canada</w:t>
      </w:r>
      <w:r w:rsidRPr="00B24801">
        <w:rPr>
          <w:rFonts w:cs="Times New Roman"/>
        </w:rPr>
        <w:t xml:space="preserve"> (1969), p. 21). Les professeurs Henri Brun, Guy </w:t>
      </w:r>
      <w:r w:rsidRPr="00B24801">
        <w:rPr>
          <w:rFonts w:cs="Times New Roman"/>
        </w:rPr>
        <w:lastRenderedPageBreak/>
        <w:t>Tremblay et Eugénie Brouillet ont d’ailleurs qualifié le pouvoir déclaratoire d’« </w:t>
      </w:r>
      <w:proofErr w:type="spellStart"/>
      <w:r w:rsidRPr="00B24801">
        <w:rPr>
          <w:rFonts w:cs="Times New Roman"/>
        </w:rPr>
        <w:t>exorbitan</w:t>
      </w:r>
      <w:proofErr w:type="spellEnd"/>
      <w:r w:rsidRPr="00B24801">
        <w:rPr>
          <w:rFonts w:cs="Times New Roman"/>
        </w:rPr>
        <w:t xml:space="preserve">[t], [. . .] </w:t>
      </w:r>
      <w:proofErr w:type="spellStart"/>
      <w:r w:rsidRPr="00B24801">
        <w:rPr>
          <w:rFonts w:cs="Times New Roman"/>
        </w:rPr>
        <w:t>capabl</w:t>
      </w:r>
      <w:proofErr w:type="spellEnd"/>
      <w:r w:rsidRPr="00B24801">
        <w:rPr>
          <w:rFonts w:cs="Times New Roman"/>
        </w:rPr>
        <w:t>[e] de déstabiliser le fédéralisme », et ils font remarquer que « [d]ans l’état actuel des choses, le fédéral pourrait tout de même en faire un usage abusif, qui mettrait en cause la survie du fédéralisme » (</w:t>
      </w:r>
      <w:r w:rsidRPr="00B24801">
        <w:rPr>
          <w:rFonts w:cs="Times New Roman"/>
          <w:i/>
        </w:rPr>
        <w:t>Droit constitutionnel</w:t>
      </w:r>
      <w:r w:rsidRPr="00B24801">
        <w:rPr>
          <w:rFonts w:cs="Times New Roman"/>
        </w:rPr>
        <w:t xml:space="preserve"> (6</w:t>
      </w:r>
      <w:r w:rsidRPr="00B24801">
        <w:rPr>
          <w:rFonts w:cs="Times New Roman"/>
          <w:vertAlign w:val="superscript"/>
        </w:rPr>
        <w:t>e</w:t>
      </w:r>
      <w:r w:rsidRPr="00B24801">
        <w:rPr>
          <w:rFonts w:cs="Times New Roman"/>
        </w:rPr>
        <w:t xml:space="preserve"> éd. 2014), par. VI-1.86 et VI-1.102). Il n’est pas surprenant que la question de la juste portée de l’al. 92(10)c) ait incité les provinces de l’Ontario, de l’Alberta et de la Saskatchewan à intervenir dans le présent pourvoi pour exhorter la Cour à imposer des limites au pouvoir déclaratoire. </w:t>
      </w:r>
      <w:bookmarkEnd w:id="39"/>
    </w:p>
    <w:p w14:paraId="1D914E07" w14:textId="77777777" w:rsidR="007B47A0" w:rsidRPr="00B24801" w:rsidRDefault="007B47A0" w:rsidP="007B47A0">
      <w:pPr>
        <w:pStyle w:val="ParaNoNdepar-AltN"/>
        <w:tabs>
          <w:tab w:val="clear" w:pos="1152"/>
          <w:tab w:val="left" w:pos="1166"/>
        </w:tabs>
        <w:rPr>
          <w:rFonts w:cs="Times New Roman"/>
        </w:rPr>
      </w:pPr>
      <w:r w:rsidRPr="00B24801">
        <w:rPr>
          <w:rFonts w:cs="Times New Roman"/>
        </w:rPr>
        <w:t xml:space="preserve">L’évolution récente du droit relatif au partage des compétences a eu pour effet d’éclipser largement ce qui a déjà été décrit comme la nature </w:t>
      </w:r>
      <w:r w:rsidRPr="00B24801">
        <w:rPr>
          <w:rFonts w:cs="Times New Roman"/>
          <w:smallCaps/>
        </w:rPr>
        <w:t>[traduction]</w:t>
      </w:r>
      <w:r w:rsidRPr="00B24801">
        <w:rPr>
          <w:rFonts w:cs="Times New Roman"/>
        </w:rPr>
        <w:t xml:space="preserve"> « quasi-fédérative » de la Constitution canadienne — une conception qui transparaît dans certains éléments centralisateurs de l’</w:t>
      </w:r>
      <w:r w:rsidRPr="00B24801">
        <w:rPr>
          <w:rFonts w:cs="Times New Roman"/>
          <w:i/>
        </w:rPr>
        <w:t xml:space="preserve">Acte de l’Amérique du Nord britannique, 1867 </w:t>
      </w:r>
      <w:r w:rsidRPr="00B24801">
        <w:rPr>
          <w:rFonts w:cs="Times New Roman"/>
        </w:rPr>
        <w:t xml:space="preserve">(R.-U.), 30 &amp; 31 Vict., c. 3, dont le pouvoir de désaveu et le pouvoir déclaratoire du gouvernement fédéral (K. C. </w:t>
      </w:r>
      <w:proofErr w:type="spellStart"/>
      <w:r w:rsidRPr="00B24801">
        <w:rPr>
          <w:rFonts w:cs="Times New Roman"/>
        </w:rPr>
        <w:t>Wheare</w:t>
      </w:r>
      <w:proofErr w:type="spellEnd"/>
      <w:r w:rsidRPr="00B24801">
        <w:rPr>
          <w:rFonts w:cs="Times New Roman"/>
        </w:rPr>
        <w:t xml:space="preserve">, </w:t>
      </w:r>
      <w:proofErr w:type="spellStart"/>
      <w:r w:rsidRPr="00B24801">
        <w:rPr>
          <w:rFonts w:cs="Times New Roman"/>
          <w:i/>
        </w:rPr>
        <w:t>Federal</w:t>
      </w:r>
      <w:proofErr w:type="spellEnd"/>
      <w:r w:rsidRPr="00B24801">
        <w:rPr>
          <w:rFonts w:cs="Times New Roman"/>
          <w:i/>
        </w:rPr>
        <w:t xml:space="preserve"> </w:t>
      </w:r>
      <w:proofErr w:type="spellStart"/>
      <w:r w:rsidRPr="00B24801">
        <w:rPr>
          <w:rFonts w:cs="Times New Roman"/>
          <w:i/>
        </w:rPr>
        <w:t>Government</w:t>
      </w:r>
      <w:proofErr w:type="spellEnd"/>
      <w:r w:rsidRPr="00B24801">
        <w:rPr>
          <w:rFonts w:cs="Times New Roman"/>
        </w:rPr>
        <w:t xml:space="preserve"> (4</w:t>
      </w:r>
      <w:r w:rsidRPr="00B24801">
        <w:rPr>
          <w:rFonts w:cs="Times New Roman"/>
          <w:vertAlign w:val="superscript"/>
        </w:rPr>
        <w:t>e</w:t>
      </w:r>
      <w:r w:rsidRPr="00B24801">
        <w:rPr>
          <w:rFonts w:cs="Times New Roman"/>
        </w:rPr>
        <w:t xml:space="preserve"> éd. 1963), p. 18-20). Dans le </w:t>
      </w:r>
      <w:r w:rsidRPr="00B24801">
        <w:rPr>
          <w:rFonts w:cs="Times New Roman"/>
          <w:i/>
        </w:rPr>
        <w:t>Renvoi relatif à la sécession du Québec</w:t>
      </w:r>
      <w:r w:rsidRPr="00B24801">
        <w:rPr>
          <w:rFonts w:cs="Times New Roman"/>
        </w:rPr>
        <w:t xml:space="preserve">, [1998] 2 R.C.S. 217, la Cour a fait remarquer que la </w:t>
      </w:r>
      <w:r w:rsidRPr="00B24801">
        <w:rPr>
          <w:rFonts w:cs="Times New Roman"/>
          <w:i/>
        </w:rPr>
        <w:t>Loi constitutionnelle de 1867</w:t>
      </w:r>
      <w:r w:rsidRPr="00B24801">
        <w:rPr>
          <w:rFonts w:cs="Times New Roman"/>
        </w:rPr>
        <w:t>, de par certaines de ses dispositions écrites qui présentaient une image faussée du partage des compétences, conférait au gouvernement fédéral « de vastes pouvoirs qui menaçaient de saper l’autonomie des provinces » (par. 55). La Cour a toutefois précisé que « [n]os usages politiques et constitutionnels ont respecté le principe sous-jacent du fédéralisme et ont appuyé une interprétation du texte de la Constitution conforme à ce principe » (</w:t>
      </w:r>
      <w:r w:rsidRPr="00B24801">
        <w:rPr>
          <w:rFonts w:cs="Times New Roman"/>
          <w:i/>
        </w:rPr>
        <w:t>ibid.</w:t>
      </w:r>
      <w:r w:rsidRPr="00B24801">
        <w:rPr>
          <w:rFonts w:cs="Times New Roman"/>
        </w:rPr>
        <w:t xml:space="preserve">). Dans une mise en garde formulée dans les </w:t>
      </w:r>
      <w:r w:rsidRPr="00B24801">
        <w:rPr>
          <w:rFonts w:cs="Times New Roman"/>
          <w:i/>
        </w:rPr>
        <w:t xml:space="preserve">Renvois relatifs à la Loi sur la tarification de la </w:t>
      </w:r>
      <w:r w:rsidRPr="00B24801">
        <w:rPr>
          <w:rFonts w:cs="Times New Roman"/>
          <w:i/>
        </w:rPr>
        <w:lastRenderedPageBreak/>
        <w:t>pollution causée par les gaz à effet de serre</w:t>
      </w:r>
      <w:r w:rsidRPr="00B24801">
        <w:rPr>
          <w:rFonts w:cs="Times New Roman"/>
        </w:rPr>
        <w:t xml:space="preserve">, 2021 CSC 11, [2021] 1 R.C.S. 175, le juge en chef Wagner a renouvelé l’engagement de la Cour à l’égard du principe du fédéralisme en ces termes : « Les pouvoirs fédéraux ne peuvent être utilisés d’une manière telle qu’ils videraient effectivement de leur essence des pouvoirs provinciaux . . . De fait, une conception du fédéralisme qui fait fi de l’autonomie régionale est tout aussi problématique qu’une conception qui sous‑estime la portée de la compétence du Parlement » (par. 49). Ce principe du fédéralisme, à la fois équilibré et inhérent à notre ordre constitutionnel, a joué un rôle important dans l’interprétation de notre Constitution, et il est essentiel pour comprendre l’al. 92(10)c). </w:t>
      </w:r>
    </w:p>
    <w:p w14:paraId="6A6B35F0" w14:textId="77777777" w:rsidR="007B47A0" w:rsidRPr="00B24801" w:rsidRDefault="007B47A0" w:rsidP="007B47A0">
      <w:pPr>
        <w:pStyle w:val="ParaNoNdepar-AltN"/>
        <w:tabs>
          <w:tab w:val="clear" w:pos="1152"/>
          <w:tab w:val="left" w:pos="1166"/>
        </w:tabs>
        <w:rPr>
          <w:rFonts w:cs="Times New Roman"/>
        </w:rPr>
      </w:pPr>
      <w:r w:rsidRPr="00B24801">
        <w:rPr>
          <w:rFonts w:cs="Times New Roman"/>
        </w:rPr>
        <w:t xml:space="preserve">Le « caractère exceptionnel » du pouvoir déclaratoire s’accompagne du risque de perturber l’équilibre constitutionnel. Comme l’a écrit la professeure Andrée Lajoie dans son étude de l’al. 92(10)c), « [c]e pouvoir permet d’ouvrir une brèche sérieuse dans l’autonomie législative des provinces canadiennes et rend illusoire pour une bonne part le contrôle de ces dernières sur l’intégrité de leur territoire » (p. 23). De telles préoccupations doivent éclairer l’interprétation à donner à l’al. 92(10)c). Comme l’a expliqué le juge en chef Lamer, « [l]a compétence du Parlement sur un ouvrage déclaré à l’avantage général du Canada doit être </w:t>
      </w:r>
      <w:r w:rsidRPr="00B24801">
        <w:rPr>
          <w:rStyle w:val="solexhl"/>
          <w:rFonts w:cs="Times New Roman"/>
        </w:rPr>
        <w:t>restreinte</w:t>
      </w:r>
      <w:r w:rsidRPr="00B24801">
        <w:rPr>
          <w:rFonts w:cs="Times New Roman"/>
        </w:rPr>
        <w:t xml:space="preserve"> de façon à respecter les pouvoirs des législatures provinciales, mais compatible avec la reconnaissance appropriée des intérêts fédéraux en cause » (</w:t>
      </w:r>
      <w:r w:rsidRPr="00B24801">
        <w:rPr>
          <w:rFonts w:cs="Times New Roman"/>
          <w:i/>
        </w:rPr>
        <w:t>Ontario Hydro c. Ontario (Commission des relations de travail)</w:t>
      </w:r>
      <w:r w:rsidRPr="00B24801">
        <w:rPr>
          <w:rFonts w:cs="Times New Roman"/>
        </w:rPr>
        <w:t xml:space="preserve">, [1993] 3 R.C.S. 327, p. 404). Contrairement à l’al. 92(10)a), qui englobe à la fois les « travaux et entreprises », l’al. 92(10)c) ne porte que sur les « travaux » — en l’occurrence les installations à grains. Le terme « travaux », à l’al. </w:t>
      </w:r>
      <w:r w:rsidRPr="00B24801">
        <w:rPr>
          <w:rFonts w:cs="Times New Roman"/>
        </w:rPr>
        <w:lastRenderedPageBreak/>
        <w:t xml:space="preserve">92(10)c), agit comme rempart contre un élargissement du pouvoir fédéral qui viendrait miner le principe du fédéralisme. Une déclaration qui cible un ouvrage en particulier ne confère pas au Parlement une compétence absolue sur l’industrie dans laquelle cet ouvrage est mis en service. Le pouvoir sur les silos visés par une déclaration ne s’étend pas à l’ensemble du trafic et du commerce du grain. </w:t>
      </w:r>
    </w:p>
    <w:p w14:paraId="2E011866" w14:textId="77777777" w:rsidR="007B47A0" w:rsidRPr="00B24801" w:rsidRDefault="007B47A0" w:rsidP="007B47A0">
      <w:pPr>
        <w:pStyle w:val="ParaNoNdepar-AltN"/>
        <w:tabs>
          <w:tab w:val="clear" w:pos="1152"/>
          <w:tab w:val="left" w:pos="1166"/>
        </w:tabs>
        <w:rPr>
          <w:rFonts w:cs="Times New Roman"/>
        </w:rPr>
      </w:pPr>
      <w:r w:rsidRPr="00B24801">
        <w:rPr>
          <w:rFonts w:cs="Times New Roman"/>
        </w:rPr>
        <w:t xml:space="preserve">Les termes « travaux » et « ouvrages » permettent également de déterminer de quelle façon la compétence fédérale en matière de relations de travail s’étend aux « entreprises ». Une interprétation trop large de la compétence fédérale directe ou dérivée à l’égard d’un ouvrage déclaré aurait pour effet d’étendre la compétence fédérale en matière de relations de travail d’une manière qui risque de mettre à mal le principe du fédéralisme tel qu’énoncé dans le </w:t>
      </w:r>
      <w:r w:rsidRPr="00B24801">
        <w:rPr>
          <w:rFonts w:cs="Times New Roman"/>
          <w:i/>
        </w:rPr>
        <w:t>Renvoi relatif à la sécession du Québec</w:t>
      </w:r>
      <w:r w:rsidRPr="00B24801">
        <w:rPr>
          <w:rFonts w:cs="Times New Roman"/>
        </w:rPr>
        <w:t xml:space="preserve"> et la jurisprudence subséquente.</w:t>
      </w:r>
    </w:p>
    <w:p w14:paraId="7B11BD38" w14:textId="77777777" w:rsidR="007B47A0" w:rsidRPr="00B24801" w:rsidRDefault="007B47A0" w:rsidP="007B47A0">
      <w:pPr>
        <w:pStyle w:val="ParaNoNdepar-AltN"/>
        <w:tabs>
          <w:tab w:val="clear" w:pos="1152"/>
          <w:tab w:val="left" w:pos="1166"/>
        </w:tabs>
        <w:rPr>
          <w:rFonts w:cs="Times New Roman"/>
        </w:rPr>
      </w:pPr>
      <w:r w:rsidRPr="00B24801">
        <w:rPr>
          <w:rFonts w:cs="Times New Roman"/>
        </w:rPr>
        <w:t>À la suite d’une déclaration faite en vertu de l’al. 92(10)c), la compétence fédérale directe ne s’applique qu’à l’exploitation de l’ouvrage lui-même (</w:t>
      </w:r>
      <w:r w:rsidRPr="00B24801">
        <w:rPr>
          <w:rFonts w:cs="Times New Roman"/>
          <w:i/>
        </w:rPr>
        <w:t>Travailleurs unis des transports c. Central Western Railway Corp.</w:t>
      </w:r>
      <w:r w:rsidRPr="00B24801">
        <w:rPr>
          <w:rFonts w:cs="Times New Roman"/>
        </w:rPr>
        <w:t xml:space="preserve">, [1990] 3 R.C.S. 1112, p. 1125; </w:t>
      </w:r>
      <w:proofErr w:type="spellStart"/>
      <w:r w:rsidRPr="00B24801">
        <w:rPr>
          <w:rFonts w:cs="Times New Roman"/>
          <w:i/>
        </w:rPr>
        <w:t>Consolidated</w:t>
      </w:r>
      <w:proofErr w:type="spellEnd"/>
      <w:r w:rsidRPr="00B24801">
        <w:rPr>
          <w:rFonts w:cs="Times New Roman"/>
          <w:i/>
        </w:rPr>
        <w:t xml:space="preserve"> </w:t>
      </w:r>
      <w:proofErr w:type="spellStart"/>
      <w:r w:rsidRPr="00B24801">
        <w:rPr>
          <w:rFonts w:cs="Times New Roman"/>
          <w:i/>
        </w:rPr>
        <w:t>Fastfrate</w:t>
      </w:r>
      <w:proofErr w:type="spellEnd"/>
      <w:r w:rsidRPr="00B24801">
        <w:rPr>
          <w:rFonts w:cs="Times New Roman"/>
          <w:i/>
        </w:rPr>
        <w:t xml:space="preserve"> Inc. c. Western Canada Council of </w:t>
      </w:r>
      <w:proofErr w:type="spellStart"/>
      <w:r w:rsidRPr="00B24801">
        <w:rPr>
          <w:rFonts w:cs="Times New Roman"/>
          <w:i/>
        </w:rPr>
        <w:t>Teamsters</w:t>
      </w:r>
      <w:proofErr w:type="spellEnd"/>
      <w:r w:rsidRPr="00B24801">
        <w:rPr>
          <w:rFonts w:cs="Times New Roman"/>
        </w:rPr>
        <w:t xml:space="preserve">, 2009 CSC 53, [2009] 3 R.C.S. 407, par. 44). Elle ne s’applique pas aux relations de travail de tiers fournisseurs de services mandatés par des exploitants d’ouvrages fédéraux, peu importe à quel point ces fournisseurs sont « essentiels » ou sont « intégrés » à de tels exploitants. Puisque SGS n’exploite pas d’installation à grains fédérale, elle n’est pas </w:t>
      </w:r>
      <w:r w:rsidRPr="00B24801">
        <w:rPr>
          <w:rFonts w:cs="Times New Roman"/>
        </w:rPr>
        <w:lastRenderedPageBreak/>
        <w:t xml:space="preserve">assujettie à la compétence fédérale directe en matière de relations de travail. Avec égards, la Cour d’appel a eu tort de conclure le contraire. </w:t>
      </w:r>
    </w:p>
    <w:p w14:paraId="72950813" w14:textId="77777777" w:rsidR="007B47A0" w:rsidRPr="00B24801" w:rsidRDefault="007B47A0" w:rsidP="007B47A0">
      <w:pPr>
        <w:pStyle w:val="ParaNoNdepar-AltN"/>
        <w:tabs>
          <w:tab w:val="clear" w:pos="1152"/>
          <w:tab w:val="left" w:pos="1166"/>
        </w:tabs>
        <w:rPr>
          <w:rFonts w:cs="Times New Roman"/>
        </w:rPr>
      </w:pPr>
      <w:r w:rsidRPr="00B24801">
        <w:rPr>
          <w:rFonts w:cs="Times New Roman"/>
        </w:rPr>
        <w:t xml:space="preserve">La Cour d’appel a également </w:t>
      </w:r>
      <w:bookmarkStart w:id="40" w:name="_Hlk244684490"/>
      <w:r w:rsidRPr="00B24801">
        <w:rPr>
          <w:rFonts w:cs="Times New Roman"/>
        </w:rPr>
        <w:t>commis une erreur de droit dans son interprétation du critère permettant d’établir la compétence fédérale dérivée en matière de relations de travail</w:t>
      </w:r>
      <w:bookmarkEnd w:id="40"/>
      <w:r w:rsidRPr="00B24801">
        <w:rPr>
          <w:rFonts w:cs="Times New Roman"/>
        </w:rPr>
        <w:t xml:space="preserve"> — son motif subsidiaire pour rejeter l’appel. La compétence dérivée n’intervient que s’il existe entre une entreprise locale comme SGS et l’entreprise fédérale « un lien fonctionnel si essentiel qu’il f[</w:t>
      </w:r>
      <w:proofErr w:type="spellStart"/>
      <w:r w:rsidRPr="00B24801">
        <w:rPr>
          <w:rFonts w:cs="Times New Roman"/>
        </w:rPr>
        <w:t>era</w:t>
      </w:r>
      <w:proofErr w:type="spellEnd"/>
      <w:r w:rsidRPr="00B24801">
        <w:rPr>
          <w:rFonts w:cs="Times New Roman"/>
        </w:rPr>
        <w:t>]</w:t>
      </w:r>
      <w:proofErr w:type="spellStart"/>
      <w:r w:rsidRPr="00B24801">
        <w:rPr>
          <w:rFonts w:cs="Times New Roman"/>
        </w:rPr>
        <w:t>it</w:t>
      </w:r>
      <w:proofErr w:type="spellEnd"/>
      <w:r w:rsidRPr="00B24801">
        <w:rPr>
          <w:rFonts w:cs="Times New Roman"/>
        </w:rPr>
        <w:t xml:space="preserve"> perdre à l’opération son caractère provincial distinct et la faisait tomber dans la sphère fédérale » (</w:t>
      </w:r>
      <w:r w:rsidRPr="00B24801">
        <w:rPr>
          <w:rFonts w:cs="Times New Roman"/>
          <w:i/>
        </w:rPr>
        <w:t>Tessier</w:t>
      </w:r>
      <w:r w:rsidRPr="00B24801">
        <w:rPr>
          <w:rFonts w:cs="Times New Roman"/>
        </w:rPr>
        <w:t xml:space="preserve">, par. 45, renvoyant à </w:t>
      </w:r>
      <w:proofErr w:type="spellStart"/>
      <w:r w:rsidRPr="00B24801">
        <w:rPr>
          <w:rFonts w:cs="Times New Roman"/>
          <w:i/>
        </w:rPr>
        <w:t>Westcoast</w:t>
      </w:r>
      <w:proofErr w:type="spellEnd"/>
      <w:r w:rsidRPr="00B24801">
        <w:rPr>
          <w:rFonts w:cs="Times New Roman"/>
          <w:i/>
        </w:rPr>
        <w:t xml:space="preserve"> Energy Inc. c. Canada (Office national de l’énergie)</w:t>
      </w:r>
      <w:r w:rsidRPr="00B24801">
        <w:rPr>
          <w:rFonts w:cs="Times New Roman"/>
        </w:rPr>
        <w:t>, [1998] 1 R.C.S. 322, par. 111, la juge McLachlin, plus tard juge en chef, dissidente). L’analyse se concentre sur la question de savoir si la relation entre l’entreprise fédérale exploitant l’ouvrage visé et l’entreprise locale est assimilable à une « intégration fonctionnelle », ce qui s’évalue de la perspective des deux entreprises. L’importance ou même le caractère essentiel d’un service pour l’entreprise fédérale n’est, en soi, qu’un aspect du critère. Ce service doit également représenter « la totalité ou la majeure partie » de l’ensemble des activités de l’entreprise provinciale (</w:t>
      </w:r>
      <w:r w:rsidRPr="00B24801">
        <w:rPr>
          <w:rFonts w:cs="Times New Roman"/>
          <w:i/>
          <w:iCs/>
        </w:rPr>
        <w:t>Tessier</w:t>
      </w:r>
      <w:r w:rsidRPr="00B24801">
        <w:rPr>
          <w:rFonts w:cs="Times New Roman"/>
        </w:rPr>
        <w:t xml:space="preserve">, par. 48). Ce n’est que lorsque ces deux conditions sont remplies que les deux entreprises peuvent être considérées si étroitement liées qu’elles sont fonctionnellement intégrées. </w:t>
      </w:r>
    </w:p>
    <w:p w14:paraId="5A63AF1F" w14:textId="77777777" w:rsidR="007B47A0" w:rsidRPr="00B24801" w:rsidRDefault="007B47A0" w:rsidP="007B47A0">
      <w:pPr>
        <w:pStyle w:val="ParaNoNdepar-AltN"/>
        <w:tabs>
          <w:tab w:val="clear" w:pos="1152"/>
          <w:tab w:val="left" w:pos="1166"/>
        </w:tabs>
        <w:rPr>
          <w:rFonts w:cs="Times New Roman"/>
        </w:rPr>
      </w:pPr>
      <w:bookmarkStart w:id="41" w:name="_Hlk244690331"/>
      <w:r w:rsidRPr="00B24801">
        <w:rPr>
          <w:rFonts w:cs="Times New Roman"/>
        </w:rPr>
        <w:t xml:space="preserve">La Cour d’appel, à l’instar du juge de la Cour supérieure siégeant en révision, n’a pas dûment tenu compte des deux perspectives de la relation entre SGS et </w:t>
      </w:r>
      <w:proofErr w:type="spellStart"/>
      <w:r w:rsidRPr="00B24801">
        <w:rPr>
          <w:rFonts w:cs="Times New Roman"/>
        </w:rPr>
        <w:t>Viterra</w:t>
      </w:r>
      <w:bookmarkEnd w:id="41"/>
      <w:proofErr w:type="spellEnd"/>
      <w:r w:rsidRPr="00B24801">
        <w:rPr>
          <w:rFonts w:cs="Times New Roman"/>
        </w:rPr>
        <w:t xml:space="preserve"> Inc., une société privée qui exploite l’installation terminale du Port de Montréal. </w:t>
      </w:r>
      <w:r w:rsidRPr="00B24801">
        <w:rPr>
          <w:rFonts w:cs="Times New Roman"/>
        </w:rPr>
        <w:lastRenderedPageBreak/>
        <w:t>Le critère de la compétence dérivée élaboré par la jurisprudence repose sur la question de savoir si l’entreprise locale est à ce point fonctionnellement intégrée à l’entité exploitant l’ouvrage fédéral qu’elle en perd son identité distincte (</w:t>
      </w:r>
      <w:proofErr w:type="spellStart"/>
      <w:r w:rsidRPr="00B24801">
        <w:rPr>
          <w:rFonts w:cs="Times New Roman"/>
          <w:i/>
        </w:rPr>
        <w:t>Northern</w:t>
      </w:r>
      <w:proofErr w:type="spellEnd"/>
      <w:r w:rsidRPr="00B24801">
        <w:rPr>
          <w:rFonts w:cs="Times New Roman"/>
          <w:i/>
        </w:rPr>
        <w:t xml:space="preserve"> Telecom Canada Ltée c. Syndicat des travailleurs en communication du Canada</w:t>
      </w:r>
      <w:r w:rsidRPr="00B24801">
        <w:rPr>
          <w:rFonts w:cs="Times New Roman"/>
        </w:rPr>
        <w:t xml:space="preserve">, [1983] 1 R.C.S. 733, p. 762 et 766-767). Comme l’a illustré l’appelant, le procureur général du Québec, au moyen d’un exemple, même s’il est indéniable que la production d’électricité par Hydro-Québec est essentielle à l’exploitation de nombreux ouvrages fédéraux, les relations de travail de la société d’État ne sont pas assujetties à la compétence fédérale dérivée, puisque cette entreprise n’est pas fonctionnellement intégrée aux opérations d’un ouvrage fédéral. En d’autres termes, Hydro-Québec n’a pas perdu son identité propre dans la relation entre les deux entreprises, la perspective de chacune d’entre elles étant une composante indispensable du critère de la compétence dérivée (voir, p. ex., </w:t>
      </w:r>
      <w:r w:rsidRPr="00B24801">
        <w:rPr>
          <w:rFonts w:cs="Times New Roman"/>
          <w:i/>
        </w:rPr>
        <w:t xml:space="preserve">Commission de la santé et de la sécurité du travail c. Transit Du Roy </w:t>
      </w:r>
      <w:proofErr w:type="spellStart"/>
      <w:r w:rsidRPr="00B24801">
        <w:rPr>
          <w:rFonts w:cs="Times New Roman"/>
          <w:i/>
        </w:rPr>
        <w:t>inc.</w:t>
      </w:r>
      <w:proofErr w:type="spellEnd"/>
      <w:r w:rsidRPr="00B24801">
        <w:rPr>
          <w:rFonts w:cs="Times New Roman"/>
        </w:rPr>
        <w:t xml:space="preserve">, 2014 QCCA 278, par. 33). </w:t>
      </w:r>
    </w:p>
    <w:p w14:paraId="3D421998" w14:textId="77777777" w:rsidR="007B47A0" w:rsidRPr="00B24801" w:rsidRDefault="007B47A0" w:rsidP="007B47A0">
      <w:pPr>
        <w:pStyle w:val="ParaNoNdepar-AltN"/>
        <w:tabs>
          <w:tab w:val="clear" w:pos="1152"/>
          <w:tab w:val="left" w:pos="1166"/>
        </w:tabs>
        <w:rPr>
          <w:rFonts w:cs="Times New Roman"/>
        </w:rPr>
      </w:pPr>
      <w:r w:rsidRPr="00B24801">
        <w:rPr>
          <w:rFonts w:cs="Times New Roman"/>
        </w:rPr>
        <w:t xml:space="preserve">Dans l’affaire qui nous occupe, il est juste d’affirmer que SGS, compte tenu de son rôle de tiers chargé de l’inspection des grains, fournit un service commercial important — voire essentiel — dont dépend </w:t>
      </w:r>
      <w:proofErr w:type="spellStart"/>
      <w:r w:rsidRPr="00B24801">
        <w:rPr>
          <w:rFonts w:cs="Times New Roman"/>
        </w:rPr>
        <w:t>Viterra</w:t>
      </w:r>
      <w:proofErr w:type="spellEnd"/>
      <w:r w:rsidRPr="00B24801">
        <w:rPr>
          <w:rFonts w:cs="Times New Roman"/>
        </w:rPr>
        <w:t xml:space="preserve">. Cependant, ce service d’un tiers est essentiel au commerce de </w:t>
      </w:r>
      <w:proofErr w:type="spellStart"/>
      <w:r w:rsidRPr="00B24801">
        <w:rPr>
          <w:rFonts w:cs="Times New Roman"/>
        </w:rPr>
        <w:t>Viterra</w:t>
      </w:r>
      <w:proofErr w:type="spellEnd"/>
      <w:r w:rsidRPr="00B24801">
        <w:rPr>
          <w:rFonts w:cs="Times New Roman"/>
        </w:rPr>
        <w:t xml:space="preserve">, lequel consiste notamment à acheter des grains d’agriculteurs, puis à les vendre à l’étranger, et non à agir uniquement comme exploitante de silo. Cependant, les principales fonctions d’un silo terminal, comme celui exploité par </w:t>
      </w:r>
      <w:proofErr w:type="spellStart"/>
      <w:r w:rsidRPr="00B24801">
        <w:rPr>
          <w:rFonts w:cs="Times New Roman"/>
        </w:rPr>
        <w:t>Viterra</w:t>
      </w:r>
      <w:proofErr w:type="spellEnd"/>
      <w:r w:rsidRPr="00B24801">
        <w:rPr>
          <w:rFonts w:cs="Times New Roman"/>
        </w:rPr>
        <w:t xml:space="preserve">, sont de recevoir les grains d’autres silos, les laver, </w:t>
      </w:r>
      <w:r w:rsidRPr="00B24801">
        <w:rPr>
          <w:rFonts w:cs="Times New Roman"/>
        </w:rPr>
        <w:lastRenderedPageBreak/>
        <w:t xml:space="preserve">les entreposer et les traiter avant de les charger sur des navires. SGS n’est donc pas fonctionnellement intégrée au seul « ouvrage » en cause. </w:t>
      </w:r>
    </w:p>
    <w:p w14:paraId="2BDCB430" w14:textId="77777777" w:rsidR="007B47A0" w:rsidRPr="00B24801" w:rsidRDefault="007B47A0" w:rsidP="007B47A0">
      <w:pPr>
        <w:pStyle w:val="ParaNoNdepar-AltN"/>
        <w:rPr>
          <w:rFonts w:cs="Times New Roman"/>
        </w:rPr>
      </w:pPr>
      <w:r w:rsidRPr="00B24801">
        <w:rPr>
          <w:rFonts w:cs="Times New Roman"/>
        </w:rPr>
        <w:t xml:space="preserve">Le présent pourvoi donne l’occasion de vérifier les limites de l’exercice ciblé du pouvoir déclaratoire, et montre comment — par suite d’une mauvaise interprétation de la compétence directe et de la compétence dérivée — l’on peut recourir irrégulièrement à l’al. 92(10)c) de la </w:t>
      </w:r>
      <w:r w:rsidRPr="00B24801">
        <w:rPr>
          <w:rFonts w:cs="Times New Roman"/>
          <w:i/>
        </w:rPr>
        <w:t>Loi constitutionnelle de 1867</w:t>
      </w:r>
      <w:r w:rsidRPr="00B24801">
        <w:rPr>
          <w:rFonts w:cs="Times New Roman"/>
        </w:rPr>
        <w:t xml:space="preserve"> pour étendre la compétence fédérale en matière de relations de travail d’une manière qui va carrément à l’encontre du principe du fédéralisme décrit par notre Cour comme étant l’un des piliers de la Constitution canadienne. L’extension de la compétence directe et de la compétence dérivée entraîne des conséquences importantes, qui vont au-delà du pouvoir déclaratoire lui-même. En effet, les tribunaux ont conclu qu’il existait une compétence fédérale en matière de relations de travail relativement à de nombreux autres chefs de compétence fédérale, y compris le pouvoir du Parlement de légiférer pour la paix, l’ordre et le bon gouvernement. Avec égards pour les opinions contraires, le fait de retenir les conclusions de la Cour d’appel en l’espèce aurait pour conséquence d’élargir de façon inappropriée le fondement juridique sur lequel le Parlement pourrait s’appuyer pour empiéter sur la compétence provinciale en matière de relations de travail dans d’autres contextes.</w:t>
      </w:r>
    </w:p>
    <w:p w14:paraId="4CF9525B" w14:textId="77777777" w:rsidR="007B47A0" w:rsidRPr="00B24801" w:rsidRDefault="007B47A0" w:rsidP="007B47A0">
      <w:pPr>
        <w:pStyle w:val="Title1LevelTitre1Niveau-AltL"/>
        <w:numPr>
          <w:ilvl w:val="0"/>
          <w:numId w:val="21"/>
        </w:numPr>
        <w:ind w:left="578" w:hanging="578"/>
        <w:jc w:val="both"/>
        <w:rPr>
          <w:rFonts w:cs="Times New Roman"/>
        </w:rPr>
      </w:pPr>
      <w:bookmarkStart w:id="42" w:name="_Toc231953038"/>
      <w:bookmarkStart w:id="43" w:name="_Toc232027321"/>
      <w:bookmarkStart w:id="44" w:name="_Toc232617595"/>
      <w:bookmarkStart w:id="45" w:name="_Toc233556336"/>
      <w:bookmarkStart w:id="46" w:name="_Toc233853028"/>
      <w:bookmarkStart w:id="47" w:name="_Toc233980567"/>
      <w:bookmarkStart w:id="48" w:name="_Toc242797527"/>
      <w:r w:rsidRPr="00B24801">
        <w:rPr>
          <w:rFonts w:cs="Times New Roman"/>
        </w:rPr>
        <w:t>Contexte</w:t>
      </w:r>
      <w:bookmarkEnd w:id="42"/>
      <w:bookmarkEnd w:id="43"/>
      <w:bookmarkEnd w:id="44"/>
      <w:bookmarkEnd w:id="45"/>
      <w:bookmarkEnd w:id="46"/>
      <w:bookmarkEnd w:id="47"/>
      <w:bookmarkEnd w:id="48"/>
    </w:p>
    <w:p w14:paraId="13D93A63" w14:textId="77777777" w:rsidR="007B47A0" w:rsidRPr="00B24801" w:rsidRDefault="007B47A0" w:rsidP="007B47A0">
      <w:pPr>
        <w:pStyle w:val="ParaNoNdepar-AltN"/>
        <w:rPr>
          <w:rFonts w:cs="Times New Roman"/>
        </w:rPr>
      </w:pPr>
      <w:bookmarkStart w:id="49" w:name="_Ref231953084"/>
      <w:bookmarkStart w:id="50" w:name="_Ref233853069"/>
      <w:r w:rsidRPr="00B24801">
        <w:rPr>
          <w:rFonts w:cs="Times New Roman"/>
        </w:rPr>
        <w:lastRenderedPageBreak/>
        <w:t xml:space="preserve">Ma collègue a relaté utilement les circonstances pertinentes et les procédures à ce jour. Je ne les répéterai pas ici, mais je ferai plutôt ressortir plusieurs points qui méritent d’être </w:t>
      </w:r>
      <w:bookmarkEnd w:id="49"/>
      <w:r w:rsidRPr="00B24801">
        <w:rPr>
          <w:rFonts w:cs="Times New Roman"/>
        </w:rPr>
        <w:t>soulignés.</w:t>
      </w:r>
      <w:bookmarkEnd w:id="50"/>
    </w:p>
    <w:p w14:paraId="0FA1ACD4" w14:textId="77777777" w:rsidR="007B47A0" w:rsidRPr="00B24801" w:rsidRDefault="007B47A0" w:rsidP="007B47A0">
      <w:pPr>
        <w:pStyle w:val="ParaNoNdepar-AltN"/>
        <w:rPr>
          <w:rFonts w:cs="Times New Roman"/>
        </w:rPr>
      </w:pPr>
      <w:bookmarkStart w:id="51" w:name="_Ref233556399"/>
      <w:bookmarkStart w:id="52" w:name="_Ref231953089"/>
      <w:r w:rsidRPr="00B24801">
        <w:rPr>
          <w:rFonts w:cs="Times New Roman"/>
        </w:rPr>
        <w:t xml:space="preserve">Au cœur du présent pourvoi se trouve la déclaration faite par le Parlement en vertu de la loi selon laquelle les silos à grains sont des « ouvrages » à l’avantage général du Canada, déclaration qui figure au </w:t>
      </w:r>
      <w:proofErr w:type="spellStart"/>
      <w:r w:rsidRPr="00B24801">
        <w:rPr>
          <w:rFonts w:cs="Times New Roman"/>
        </w:rPr>
        <w:t>par</w:t>
      </w:r>
      <w:proofErr w:type="spellEnd"/>
      <w:r w:rsidRPr="00B24801">
        <w:rPr>
          <w:rFonts w:cs="Times New Roman"/>
        </w:rPr>
        <w:t xml:space="preserve">. 55(1) de la </w:t>
      </w:r>
      <w:r w:rsidRPr="00B24801">
        <w:rPr>
          <w:rFonts w:cs="Times New Roman"/>
          <w:i/>
        </w:rPr>
        <w:t>Loi sur les grains du Canada</w:t>
      </w:r>
      <w:r w:rsidRPr="00B24801">
        <w:rPr>
          <w:rFonts w:cs="Times New Roman"/>
        </w:rPr>
        <w:t xml:space="preserve">. </w:t>
      </w:r>
      <w:bookmarkStart w:id="53" w:name="_Hlk233491563"/>
      <w:bookmarkEnd w:id="51"/>
      <w:r w:rsidRPr="00B24801">
        <w:rPr>
          <w:rFonts w:cs="Times New Roman"/>
        </w:rPr>
        <w:t xml:space="preserve">L’article 2 de la </w:t>
      </w:r>
      <w:r w:rsidRPr="00B24801">
        <w:rPr>
          <w:rFonts w:cs="Times New Roman"/>
          <w:iCs/>
        </w:rPr>
        <w:t>Loi</w:t>
      </w:r>
      <w:r w:rsidRPr="00B24801">
        <w:rPr>
          <w:rFonts w:cs="Times New Roman"/>
        </w:rPr>
        <w:t xml:space="preserve"> définit les types de silos visés par cette déclaration, et place expressément ceux situés dans les régions de l’Ouest et de l’Est sous compétence fédérale. La région de l’Est englobe tous les silos situés « sur les bords des lacs Supérieur, Huron, Sainte-Claire, Érié, Ontario ou des canaux et autres voies navigables reliant ces lacs, ou du fleuve St-Laurent ou des eaux de marées ». Ces silos — ou « installations » — servent notamment « en vue de la manutention et du stockage des grains » (art. 2 « </w:t>
      </w:r>
      <w:r w:rsidRPr="00B24801">
        <w:rPr>
          <w:rFonts w:cs="Times New Roman"/>
          <w:iCs/>
        </w:rPr>
        <w:t>installation</w:t>
      </w:r>
      <w:r w:rsidRPr="00B24801">
        <w:rPr>
          <w:rFonts w:cs="Times New Roman"/>
        </w:rPr>
        <w:t xml:space="preserve"> ou </w:t>
      </w:r>
      <w:r w:rsidRPr="00B24801">
        <w:rPr>
          <w:rFonts w:cs="Times New Roman"/>
          <w:iCs/>
        </w:rPr>
        <w:t>silo</w:t>
      </w:r>
      <w:r w:rsidRPr="00B24801">
        <w:rPr>
          <w:rFonts w:cs="Times New Roman"/>
        </w:rPr>
        <w:t> » et « installation terminale ou silo terminal »). Ni le par. 55(1) ni l’art. 2 ne mentionnent de services auxiliaires liés aux silos à grains</w:t>
      </w:r>
      <w:bookmarkEnd w:id="52"/>
      <w:bookmarkEnd w:id="53"/>
      <w:r w:rsidRPr="00B24801">
        <w:rPr>
          <w:rFonts w:cs="Times New Roman"/>
        </w:rPr>
        <w:t>.</w:t>
      </w:r>
    </w:p>
    <w:p w14:paraId="486FF1B8" w14:textId="77777777" w:rsidR="007B47A0" w:rsidRPr="00B24801" w:rsidRDefault="007B47A0" w:rsidP="007B47A0">
      <w:pPr>
        <w:pStyle w:val="ParaNoNdepar-AltN"/>
        <w:rPr>
          <w:rFonts w:cs="Times New Roman"/>
        </w:rPr>
      </w:pPr>
      <w:bookmarkStart w:id="54" w:name="_Hlk239100640"/>
      <w:r w:rsidRPr="00B24801">
        <w:rPr>
          <w:rFonts w:cs="Times New Roman"/>
        </w:rPr>
        <w:t xml:space="preserve">Selon la Loi, toute personne exploitant des silos à grains doit obtenir une licence ou une exemption de la Commission canadienne des grains (art. 44). Avant que certaines modifications ne soient apportées en 2012, l’art. 70 de la </w:t>
      </w:r>
      <w:r w:rsidRPr="00B24801">
        <w:rPr>
          <w:rFonts w:cs="Times New Roman"/>
          <w:iCs/>
        </w:rPr>
        <w:t>Loi</w:t>
      </w:r>
      <w:r w:rsidRPr="00B24801">
        <w:rPr>
          <w:rFonts w:cs="Times New Roman"/>
          <w:i/>
          <w:iCs/>
        </w:rPr>
        <w:t xml:space="preserve"> </w:t>
      </w:r>
      <w:r w:rsidRPr="00B24801">
        <w:rPr>
          <w:rFonts w:cs="Times New Roman"/>
        </w:rPr>
        <w:t xml:space="preserve">exigeait que les inspecteurs de la Commission procèdent à la pesée et à l’inspection « officielles » des grains reçus à l’installation (voir </w:t>
      </w:r>
      <w:proofErr w:type="spellStart"/>
      <w:r w:rsidRPr="00B24801">
        <w:rPr>
          <w:rFonts w:cs="Times New Roman"/>
        </w:rPr>
        <w:t>m.i</w:t>
      </w:r>
      <w:proofErr w:type="spellEnd"/>
      <w:r w:rsidRPr="00B24801">
        <w:rPr>
          <w:rFonts w:cs="Times New Roman"/>
        </w:rPr>
        <w:t>., par. 18-19). Le Parlement a modifié le régime de pesée et d’inspection de façon à exiger que l’exploitant d’une installation terminale</w:t>
      </w:r>
      <w:r w:rsidRPr="00B24801">
        <w:rPr>
          <w:rFonts w:cs="Times New Roman"/>
          <w:lang w:bidi="en-US"/>
        </w:rPr>
        <w:t xml:space="preserve">, « à moins qu’un règlement ou un arrêté de la Commission ne l’en dispense », pèse et </w:t>
      </w:r>
      <w:r w:rsidRPr="00B24801">
        <w:rPr>
          <w:rFonts w:cs="Times New Roman"/>
          <w:lang w:bidi="en-US"/>
        </w:rPr>
        <w:lastRenderedPageBreak/>
        <w:t xml:space="preserve">inspecte les grains reçus à l’installation et, si le grain est destiné à une autre installation agréée, qu’il le pèse et l’inspecte avant son déchargement (par. 69.1(1), 70(1) et 70.3(2)). Néanmoins, </w:t>
      </w:r>
      <w:bookmarkEnd w:id="54"/>
      <w:r w:rsidRPr="00B24801">
        <w:rPr>
          <w:rFonts w:cs="Times New Roman"/>
          <w:lang w:bidi="en-US"/>
        </w:rPr>
        <w:t>l’exploitant pourrait devoir faire peser et inspecter par un tiers de son choix le grain, soit lorsqu’il le reçoit, « dans le cas où la personne qui a fait livrer le grain en fait la demande » (par. 69.1(2) et 70(3)), soit avant déchargement, « dans le cas où l’exploitant de l’installation agréée destinée à recevoir le grain en fait la demande »</w:t>
      </w:r>
      <w:r w:rsidRPr="00B24801">
        <w:rPr>
          <w:rFonts w:cs="Times New Roman"/>
        </w:rPr>
        <w:t xml:space="preserve"> (par. 70.3(3)).</w:t>
      </w:r>
    </w:p>
    <w:p w14:paraId="0998FC3C" w14:textId="77777777" w:rsidR="007B47A0" w:rsidRPr="00B24801" w:rsidRDefault="007B47A0" w:rsidP="007B47A0">
      <w:pPr>
        <w:pStyle w:val="ParaNoNdepar-AltN"/>
        <w:rPr>
          <w:rFonts w:cs="Times New Roman"/>
          <w:lang w:bidi="en-US"/>
        </w:rPr>
      </w:pPr>
      <w:r w:rsidRPr="00B24801">
        <w:rPr>
          <w:rFonts w:cs="Times New Roman"/>
        </w:rPr>
        <w:t xml:space="preserve">SGS est l’un des cinq tiers fournisseurs de services actuellement autorisés par la Commission, et dont les exploitants peuvent retenir les services d’inspection des grains. Ces services facilitent le mouvement des grains à l’intérieur et à l’extérieur du pays. Les exploitants de silos terminaux en cause, comme </w:t>
      </w:r>
      <w:proofErr w:type="spellStart"/>
      <w:r w:rsidRPr="00B24801">
        <w:rPr>
          <w:rFonts w:cs="Times New Roman"/>
        </w:rPr>
        <w:t>Viterra</w:t>
      </w:r>
      <w:proofErr w:type="spellEnd"/>
      <w:r w:rsidRPr="00B24801">
        <w:rPr>
          <w:rFonts w:cs="Times New Roman"/>
        </w:rPr>
        <w:t>,</w:t>
      </w:r>
      <w:r w:rsidRPr="00B24801">
        <w:rPr>
          <w:rFonts w:eastAsiaTheme="minorHAnsi" w:cs="Times New Roman"/>
          <w:lang w:bidi="en-US"/>
        </w:rPr>
        <w:t xml:space="preserve"> prennent part à l’achat et à la vente de grains destinés à l’exportation. </w:t>
      </w:r>
      <w:proofErr w:type="spellStart"/>
      <w:r w:rsidRPr="00B24801">
        <w:rPr>
          <w:rFonts w:eastAsiaTheme="minorHAnsi" w:cs="Times New Roman"/>
          <w:lang w:bidi="en-US"/>
        </w:rPr>
        <w:t>Viterra</w:t>
      </w:r>
      <w:proofErr w:type="spellEnd"/>
      <w:r w:rsidRPr="00B24801">
        <w:rPr>
          <w:rFonts w:eastAsiaTheme="minorHAnsi" w:cs="Times New Roman"/>
          <w:lang w:bidi="en-US"/>
        </w:rPr>
        <w:t xml:space="preserve"> démontre l’intérêt qu’il porte au commerce du grain en étant également titulaire </w:t>
      </w:r>
      <w:r w:rsidRPr="00B24801">
        <w:rPr>
          <w:rFonts w:cs="Times New Roman"/>
          <w:lang w:bidi="en-US"/>
        </w:rPr>
        <w:t xml:space="preserve">d’une licence de négociant en grains, terme qui désigne quiconque, « dans un but lucratif, pour son propre compte ou celui d’autrui, [qui] se livre au commerce ou à la manutention de grains de l’Ouest » (art. 2 « négociant en grains »; </w:t>
      </w:r>
      <w:proofErr w:type="spellStart"/>
      <w:r w:rsidRPr="00B24801">
        <w:rPr>
          <w:rFonts w:cs="Times New Roman"/>
          <w:lang w:bidi="en-US"/>
        </w:rPr>
        <w:t>d.a</w:t>
      </w:r>
      <w:proofErr w:type="spellEnd"/>
      <w:r w:rsidRPr="00B24801">
        <w:rPr>
          <w:rFonts w:cs="Times New Roman"/>
          <w:lang w:bidi="en-US"/>
        </w:rPr>
        <w:t>., vol. II, p. 82)</w:t>
      </w:r>
      <w:r w:rsidRPr="00B24801">
        <w:rPr>
          <w:rFonts w:cs="Times New Roman"/>
        </w:rPr>
        <w:t xml:space="preserve">. </w:t>
      </w:r>
    </w:p>
    <w:p w14:paraId="4D113BD9" w14:textId="77777777" w:rsidR="007B47A0" w:rsidRPr="00B24801" w:rsidRDefault="007B47A0" w:rsidP="007B47A0">
      <w:pPr>
        <w:pStyle w:val="ParaNoNdepar-AltN"/>
        <w:rPr>
          <w:rFonts w:cs="Times New Roman"/>
        </w:rPr>
      </w:pPr>
      <w:r w:rsidRPr="00B24801">
        <w:rPr>
          <w:rFonts w:cs="Times New Roman"/>
        </w:rPr>
        <w:t xml:space="preserve">Ainsi, les sociétés titulaires d’une licence, comme </w:t>
      </w:r>
      <w:proofErr w:type="spellStart"/>
      <w:r w:rsidRPr="00B24801">
        <w:rPr>
          <w:rFonts w:cs="Times New Roman"/>
        </w:rPr>
        <w:t>Viterra</w:t>
      </w:r>
      <w:proofErr w:type="spellEnd"/>
      <w:r w:rsidRPr="00B24801">
        <w:rPr>
          <w:rFonts w:cs="Times New Roman"/>
        </w:rPr>
        <w:t xml:space="preserve">, qui exploitent des silos terminaux, peuvent avoir une double mission. Elles exploitent des terminaux à grains en vue de la manutention et du stockage des grains, mais elles peuvent également mener, indépendamment de l’exploitation du silo, des activités commerciales qui consistent à acheter du grain, à en assurer la commercialisation et à </w:t>
      </w:r>
      <w:r w:rsidRPr="00B24801">
        <w:rPr>
          <w:rFonts w:cs="Times New Roman"/>
        </w:rPr>
        <w:lastRenderedPageBreak/>
        <w:t>le vendre à des acheteurs étrangers. Par conséquent, ces titulaires de licence peuvent à la fois agir comme exploitantes de silo et diriger une entreprise d’exportation à titre de négociantes en grains, si bien que leurs besoins à l’égard d’entreprises comme SGS sont de nature tant opérationnelle que commerciale.</w:t>
      </w:r>
    </w:p>
    <w:p w14:paraId="2931DA8F" w14:textId="77777777" w:rsidR="007B47A0" w:rsidRPr="00B24801" w:rsidRDefault="007B47A0" w:rsidP="007B47A0">
      <w:pPr>
        <w:pStyle w:val="ParaNoNdepar-AltN"/>
        <w:rPr>
          <w:rFonts w:cs="Times New Roman"/>
        </w:rPr>
      </w:pPr>
      <w:r w:rsidRPr="00B24801">
        <w:rPr>
          <w:rFonts w:cs="Times New Roman"/>
        </w:rPr>
        <w:t xml:space="preserve">Les silos terminaux en cause font appel à SGS pour qu’elle effectue la pesée et les inspections nécessaires pour se conformer aux dispositions de la Loi. Mais ils ont également recours aux services de SGS pour des motifs commerciaux, notamment pour la pesée et l’inspection des grains avant leur déchargement, par exemple pour s’assurer de la valeur marchande du grain à vendre, pour déterminer à qui le vendre et par quel moyen l’expédier, pour surveiller les changements dans les caractéristiques du grain au cours de son acheminement vers le port et pour veiller à ce qu’aucun grain non conforme ne soit chargé à bord de navires à des fins d’exportation, ce qui aurait un « impact financier considérable » (2021 QCTAT 1021, par. 29, 33-34, 39 et 42). Les exploitants de silos sont donc des clients de SGS, avec qui cette dernière conclut des contrats en vue de la prestation de ces services. </w:t>
      </w:r>
    </w:p>
    <w:p w14:paraId="789A7AE9" w14:textId="77777777" w:rsidR="007B47A0" w:rsidRPr="00B24801" w:rsidRDefault="007B47A0" w:rsidP="007B47A0">
      <w:pPr>
        <w:pStyle w:val="ParaNoNdepar-AltN"/>
        <w:rPr>
          <w:rFonts w:cs="Times New Roman"/>
        </w:rPr>
      </w:pPr>
      <w:r w:rsidRPr="00B24801">
        <w:rPr>
          <w:rFonts w:cs="Times New Roman"/>
          <w:lang w:bidi="en-US"/>
        </w:rPr>
        <w:t>Les grains déchargés des terminaux font l’objet d’une « pesée officielle » et d’une « inspection officielle » par la Commission, qui peut délivrer un certificat autorisant l’exportation des grains (</w:t>
      </w:r>
      <w:r w:rsidRPr="00B24801">
        <w:rPr>
          <w:rFonts w:cs="Times New Roman"/>
          <w:i/>
        </w:rPr>
        <w:t>Loi sur les grains du Canada</w:t>
      </w:r>
      <w:r w:rsidRPr="00B24801">
        <w:rPr>
          <w:rFonts w:cs="Times New Roman"/>
          <w:lang w:bidi="en-US"/>
        </w:rPr>
        <w:t xml:space="preserve">, art. 2 et 15.1 et par. 70.3(1); motifs du T.A.T., par. 29 et 33). Les </w:t>
      </w:r>
      <w:r w:rsidRPr="00B24801">
        <w:rPr>
          <w:rFonts w:cs="Times New Roman"/>
        </w:rPr>
        <w:t xml:space="preserve">sociétés titulaires d’une licence </w:t>
      </w:r>
      <w:r w:rsidRPr="00B24801">
        <w:rPr>
          <w:rFonts w:cs="Times New Roman"/>
          <w:lang w:bidi="en-US"/>
        </w:rPr>
        <w:t xml:space="preserve">feront tout de même appel à SGS pour qu’elle effectue des analyses additionnelles et délivre son propre certificat d’exportation. Cette démarche répond à des considérations </w:t>
      </w:r>
      <w:r w:rsidRPr="00B24801">
        <w:rPr>
          <w:rFonts w:cs="Times New Roman"/>
          <w:lang w:bidi="en-US"/>
        </w:rPr>
        <w:lastRenderedPageBreak/>
        <w:t>commerciales distinctes de celles liées à l’exploitation d’un silo. En effet, les acheteurs peuvent exiger du vendeur qu’il fasse réaliser des analyses supplémentaires allant au-delà des exigences de la Commission, ou encore, il se peut que les pays de destination imposent des conditions particulières à l’importation. SGS produit les résultats d’analyse plus rapidement (ce qui peut permettre de réduire les coûts liés à la présence de grains non conformes), et elle est en mesure de délivrer un certificat indépendant attestant que les grains satisfont aux exigences convenues; elle fait ainsi office de « police d’assurance » pour les sociétés qui vendent des grains et leurs acheteurs étrangers (motifs du T.A.T., par. 35-36, 42 et 46).</w:t>
      </w:r>
    </w:p>
    <w:p w14:paraId="596A2A1D" w14:textId="77777777" w:rsidR="007B47A0" w:rsidRPr="00B24801" w:rsidRDefault="007B47A0" w:rsidP="007B47A0">
      <w:pPr>
        <w:pStyle w:val="Title1LevelTitre1Niveau-AltL"/>
        <w:numPr>
          <w:ilvl w:val="0"/>
          <w:numId w:val="21"/>
        </w:numPr>
        <w:jc w:val="both"/>
        <w:rPr>
          <w:rFonts w:cs="Times New Roman"/>
        </w:rPr>
      </w:pPr>
      <w:bookmarkStart w:id="55" w:name="_Toc231953045"/>
      <w:bookmarkStart w:id="56" w:name="_Toc232027328"/>
      <w:bookmarkStart w:id="57" w:name="_Toc232617602"/>
      <w:bookmarkStart w:id="58" w:name="_Toc233556343"/>
      <w:bookmarkStart w:id="59" w:name="_Toc233853035"/>
      <w:bookmarkStart w:id="60" w:name="_Toc233980574"/>
      <w:bookmarkStart w:id="61" w:name="_Toc242797528"/>
      <w:r w:rsidRPr="00B24801">
        <w:rPr>
          <w:rFonts w:cs="Times New Roman"/>
        </w:rPr>
        <w:t>Questions en appel</w:t>
      </w:r>
      <w:bookmarkEnd w:id="55"/>
      <w:bookmarkEnd w:id="56"/>
      <w:bookmarkEnd w:id="57"/>
      <w:bookmarkEnd w:id="58"/>
      <w:bookmarkEnd w:id="59"/>
      <w:bookmarkEnd w:id="60"/>
      <w:bookmarkEnd w:id="61"/>
    </w:p>
    <w:p w14:paraId="58DE82E9" w14:textId="77777777" w:rsidR="007B47A0" w:rsidRPr="00B24801" w:rsidRDefault="007B47A0" w:rsidP="007B47A0">
      <w:pPr>
        <w:pStyle w:val="ParaNoNdepar-AltN"/>
        <w:tabs>
          <w:tab w:val="clear" w:pos="1152"/>
          <w:tab w:val="left" w:pos="1166"/>
        </w:tabs>
        <w:rPr>
          <w:rFonts w:cs="Times New Roman"/>
        </w:rPr>
      </w:pPr>
      <w:bookmarkStart w:id="62" w:name="_Ref242797375"/>
      <w:bookmarkStart w:id="63" w:name="_Ref233980618"/>
      <w:bookmarkStart w:id="64" w:name="_Ref233853097"/>
      <w:bookmarkStart w:id="65" w:name="_Ref231953113"/>
      <w:r w:rsidRPr="00B24801">
        <w:rPr>
          <w:rFonts w:cs="Times New Roman"/>
        </w:rPr>
        <w:t>L’appelant, le procureur général du Québec, soulève deux moyens d’appel à l’appui de sa position selon laquelle les relations de travail de SGS relèvent de la compétence provinciale, et non de la compétence fédérale. Il fait valoir que, premièrement, le pouvoir du Parlement ne s’étend pas aux relations de travail de SGS par l’entremise de la « compétence directe » et, deuxièmement, qu’il ne s’y étend pas davantage par l’entremise de la « compétence dérivée ».</w:t>
      </w:r>
      <w:bookmarkEnd w:id="62"/>
      <w:bookmarkEnd w:id="63"/>
      <w:bookmarkEnd w:id="64"/>
      <w:r w:rsidRPr="00B24801">
        <w:rPr>
          <w:rFonts w:cs="Times New Roman"/>
        </w:rPr>
        <w:t xml:space="preserve"> </w:t>
      </w:r>
    </w:p>
    <w:p w14:paraId="6B50FF75" w14:textId="77777777" w:rsidR="007B47A0" w:rsidRPr="00B24801" w:rsidRDefault="007B47A0" w:rsidP="007B47A0">
      <w:pPr>
        <w:pStyle w:val="Title1LevelTitre1Niveau-AltL"/>
        <w:numPr>
          <w:ilvl w:val="0"/>
          <w:numId w:val="21"/>
        </w:numPr>
        <w:ind w:left="578" w:hanging="578"/>
        <w:jc w:val="both"/>
        <w:rPr>
          <w:rFonts w:cs="Times New Roman"/>
        </w:rPr>
      </w:pPr>
      <w:bookmarkStart w:id="66" w:name="_Toc233556344"/>
      <w:bookmarkStart w:id="67" w:name="_Toc231953046"/>
      <w:bookmarkStart w:id="68" w:name="_Toc232027329"/>
      <w:bookmarkStart w:id="69" w:name="_Toc232617603"/>
      <w:bookmarkStart w:id="70" w:name="_Toc233556345"/>
      <w:bookmarkStart w:id="71" w:name="_Toc233853036"/>
      <w:bookmarkStart w:id="72" w:name="_Toc233980575"/>
      <w:bookmarkStart w:id="73" w:name="_Toc242797529"/>
      <w:bookmarkEnd w:id="65"/>
      <w:bookmarkEnd w:id="66"/>
      <w:r w:rsidRPr="00B24801">
        <w:rPr>
          <w:rFonts w:cs="Times New Roman"/>
        </w:rPr>
        <w:t>Analyse</w:t>
      </w:r>
      <w:bookmarkEnd w:id="67"/>
      <w:bookmarkEnd w:id="68"/>
      <w:bookmarkEnd w:id="69"/>
      <w:bookmarkEnd w:id="70"/>
      <w:bookmarkEnd w:id="71"/>
      <w:bookmarkEnd w:id="72"/>
      <w:bookmarkEnd w:id="73"/>
    </w:p>
    <w:p w14:paraId="1D650B0A" w14:textId="77777777" w:rsidR="007B47A0" w:rsidRPr="00B24801" w:rsidRDefault="007B47A0" w:rsidP="007B47A0">
      <w:pPr>
        <w:pStyle w:val="ParaNoNdepar-AltN"/>
        <w:rPr>
          <w:rFonts w:cs="Times New Roman"/>
        </w:rPr>
      </w:pPr>
      <w:bookmarkStart w:id="74" w:name="_Ref233556422"/>
      <w:bookmarkStart w:id="75" w:name="_Ref242797604"/>
      <w:bookmarkStart w:id="76" w:name="_Ref231953123"/>
      <w:r w:rsidRPr="00B24801">
        <w:rPr>
          <w:rFonts w:cs="Times New Roman"/>
        </w:rPr>
        <w:t xml:space="preserve">Le présent pourvoi porte sur l’étendue de la compétence fédérale en matière de relations de travail découlant de l’exercice ciblé, par le Parlement, de son pouvoir déclaratoire à l’égard de silos à grain à titre d’« ouvrages » au sens du par. </w:t>
      </w:r>
      <w:r w:rsidRPr="00B24801">
        <w:rPr>
          <w:rFonts w:cs="Times New Roman"/>
        </w:rPr>
        <w:lastRenderedPageBreak/>
        <w:t xml:space="preserve">55(1) de la </w:t>
      </w:r>
      <w:r w:rsidRPr="00B24801">
        <w:rPr>
          <w:rFonts w:cs="Times New Roman"/>
          <w:iCs/>
        </w:rPr>
        <w:t>Loi</w:t>
      </w:r>
      <w:r w:rsidRPr="00B24801">
        <w:rPr>
          <w:rFonts w:cs="Times New Roman"/>
        </w:rPr>
        <w:t xml:space="preserve">. À mon avis, ni la compétence fédérale directe ni la compétence fédérale dérivée ne s’appliquent vraiment </w:t>
      </w:r>
      <w:bookmarkEnd w:id="74"/>
      <w:r w:rsidRPr="00B24801">
        <w:rPr>
          <w:rFonts w:cs="Times New Roman"/>
        </w:rPr>
        <w:t>à SGS.</w:t>
      </w:r>
      <w:bookmarkEnd w:id="75"/>
    </w:p>
    <w:p w14:paraId="486548E3" w14:textId="77777777" w:rsidR="007B47A0" w:rsidRPr="00B24801" w:rsidRDefault="007B47A0" w:rsidP="007B47A0">
      <w:pPr>
        <w:pStyle w:val="Title2LevelTitre2Niveau"/>
        <w:numPr>
          <w:ilvl w:val="1"/>
          <w:numId w:val="21"/>
        </w:numPr>
        <w:jc w:val="both"/>
        <w:rPr>
          <w:rFonts w:cs="Times New Roman"/>
        </w:rPr>
      </w:pPr>
      <w:bookmarkStart w:id="77" w:name="_Toc233556346"/>
      <w:bookmarkStart w:id="78" w:name="_Toc233556347"/>
      <w:bookmarkStart w:id="79" w:name="_Toc233556351"/>
      <w:bookmarkStart w:id="80" w:name="_Toc233853037"/>
      <w:bookmarkStart w:id="81" w:name="_Toc233980576"/>
      <w:bookmarkStart w:id="82" w:name="_Toc242797530"/>
      <w:bookmarkStart w:id="83" w:name="_Toc231953047"/>
      <w:bookmarkStart w:id="84" w:name="_Toc232027330"/>
      <w:bookmarkEnd w:id="76"/>
      <w:bookmarkEnd w:id="77"/>
      <w:bookmarkEnd w:id="78"/>
      <w:bookmarkEnd w:id="79"/>
      <w:r w:rsidRPr="00B24801">
        <w:rPr>
          <w:rFonts w:cs="Times New Roman"/>
        </w:rPr>
        <w:t>Le pouvoir déclaratoire fédéral ne doit pas être interprété au-delà de ses limites inhérentes</w:t>
      </w:r>
      <w:bookmarkEnd w:id="80"/>
      <w:bookmarkEnd w:id="81"/>
      <w:bookmarkEnd w:id="82"/>
    </w:p>
    <w:p w14:paraId="70AA0687" w14:textId="77777777" w:rsidR="007B47A0" w:rsidRPr="00B24801" w:rsidRDefault="007B47A0" w:rsidP="007B47A0">
      <w:pPr>
        <w:pStyle w:val="ParaNoNdepar-AltN"/>
        <w:rPr>
          <w:rFonts w:cs="Times New Roman"/>
        </w:rPr>
      </w:pPr>
      <w:bookmarkStart w:id="85" w:name="_Ref232617660"/>
      <w:bookmarkStart w:id="86" w:name="_Ref242797266"/>
      <w:r w:rsidRPr="00B24801">
        <w:rPr>
          <w:rFonts w:cs="Times New Roman"/>
        </w:rPr>
        <w:t xml:space="preserve">Le pouvoir déclaratoire fédéral est prévu à l’al. 92(10)c) de la </w:t>
      </w:r>
      <w:r w:rsidRPr="00B24801">
        <w:rPr>
          <w:rFonts w:cs="Times New Roman"/>
          <w:i/>
          <w:iCs/>
        </w:rPr>
        <w:t>Loi constitutionnelle de 1867</w:t>
      </w:r>
      <w:r w:rsidRPr="00B24801">
        <w:rPr>
          <w:rFonts w:cs="Times New Roman"/>
        </w:rPr>
        <w:t xml:space="preserve">, qui doit être lu conjointement avec le par. 91(29). </w:t>
      </w:r>
      <w:bookmarkStart w:id="87" w:name="_Ref232617667"/>
      <w:bookmarkStart w:id="88" w:name="_Ref231953130"/>
      <w:bookmarkEnd w:id="83"/>
      <w:bookmarkEnd w:id="84"/>
      <w:bookmarkEnd w:id="85"/>
      <w:r w:rsidRPr="00B24801">
        <w:rPr>
          <w:rFonts w:cs="Times New Roman"/>
        </w:rPr>
        <w:t xml:space="preserve">Le juge Duff a dit du pouvoir déclaratoire énoncé à l’al. 92(10)c) qu’il était </w:t>
      </w:r>
      <w:r w:rsidRPr="00B24801">
        <w:rPr>
          <w:rFonts w:cs="Times New Roman"/>
          <w:smallCaps/>
        </w:rPr>
        <w:t>[traduction]</w:t>
      </w:r>
      <w:r w:rsidRPr="00B24801">
        <w:rPr>
          <w:rFonts w:cs="Times New Roman"/>
        </w:rPr>
        <w:t xml:space="preserve"> « des plus exceptionnels », et qu’il habilitait en fait le Parlement « à remanier le partage des pouvoirs législatifs » et à « effectuer les changements les plus radicaux » (</w:t>
      </w:r>
      <w:r w:rsidRPr="00B24801">
        <w:rPr>
          <w:rFonts w:cs="Times New Roman"/>
          <w:i/>
        </w:rPr>
        <w:t>Reference re Waters and Water-Powers</w:t>
      </w:r>
      <w:r w:rsidRPr="00B24801">
        <w:rPr>
          <w:rFonts w:cs="Times New Roman"/>
        </w:rPr>
        <w:t xml:space="preserve">, [1929] R.C.S. 200, p. 220). À la différence de l’al. 92(10)a), le pouvoir déclaratoire limité ne peut s’appliquer qu’à l’égard de « travaux », et non à l’égard d’une entreprise fédérale. Le terme « travaux » (ou « ouvrages ») constitue donc </w:t>
      </w:r>
      <w:r w:rsidRPr="00B24801">
        <w:rPr>
          <w:rFonts w:cs="Times New Roman"/>
          <w:smallCaps/>
        </w:rPr>
        <w:t>[traduction]</w:t>
      </w:r>
      <w:r w:rsidRPr="00B24801">
        <w:rPr>
          <w:rFonts w:cs="Times New Roman"/>
        </w:rPr>
        <w:t xml:space="preserve"> « une limite intrinsèque » à l’étendue du pouvoir du Parlement (m. </w:t>
      </w:r>
      <w:proofErr w:type="spellStart"/>
      <w:r w:rsidRPr="00B24801">
        <w:rPr>
          <w:rFonts w:cs="Times New Roman"/>
        </w:rPr>
        <w:t>interv</w:t>
      </w:r>
      <w:proofErr w:type="spellEnd"/>
      <w:r w:rsidRPr="00B24801">
        <w:rPr>
          <w:rFonts w:cs="Times New Roman"/>
        </w:rPr>
        <w:t xml:space="preserve">., procureur général de l’Ontario, par. 6). L’exercice par le Parlement du pouvoir déclaratoire n’a pas pour effet </w:t>
      </w:r>
      <w:r w:rsidRPr="00B24801">
        <w:rPr>
          <w:rFonts w:cs="Times New Roman"/>
          <w:smallCaps/>
        </w:rPr>
        <w:t>[traduction]</w:t>
      </w:r>
      <w:r w:rsidRPr="00B24801">
        <w:rPr>
          <w:rFonts w:cs="Times New Roman"/>
        </w:rPr>
        <w:t xml:space="preserve"> « [d’]englober » dans la compétence fédérale toutes les activités qui sont associées à l’ouvrage, « mais qui ne font pas elles-mêmes partie de la déclaration » (m. </w:t>
      </w:r>
      <w:proofErr w:type="spellStart"/>
      <w:r w:rsidRPr="00B24801">
        <w:rPr>
          <w:rFonts w:cs="Times New Roman"/>
        </w:rPr>
        <w:t>interv</w:t>
      </w:r>
      <w:proofErr w:type="spellEnd"/>
      <w:r w:rsidRPr="00B24801">
        <w:rPr>
          <w:rFonts w:cs="Times New Roman"/>
        </w:rPr>
        <w:t>., procureur général de l’Alberta, par. 21).</w:t>
      </w:r>
      <w:bookmarkEnd w:id="86"/>
      <w:r w:rsidRPr="00B24801">
        <w:rPr>
          <w:rFonts w:cs="Times New Roman"/>
        </w:rPr>
        <w:t xml:space="preserve"> </w:t>
      </w:r>
      <w:bookmarkEnd w:id="87"/>
      <w:bookmarkEnd w:id="88"/>
    </w:p>
    <w:p w14:paraId="45C94F9F" w14:textId="77777777" w:rsidR="007B47A0" w:rsidRPr="00B24801" w:rsidRDefault="007B47A0" w:rsidP="007B47A0">
      <w:pPr>
        <w:pStyle w:val="ParaNoNdepar-AltN"/>
        <w:rPr>
          <w:rFonts w:cs="Times New Roman"/>
        </w:rPr>
      </w:pPr>
      <w:bookmarkStart w:id="89" w:name="_Ref231953133"/>
      <w:r w:rsidRPr="00B24801">
        <w:rPr>
          <w:rFonts w:cs="Times New Roman"/>
        </w:rPr>
        <w:t>Le pouvoir déclaratoire fédéral est considéré comme l’exception, « et non comme la règle », à la compétence provinciale sur les « travaux et entreprises d’une nature locale » au sens du par. 92(10) (</w:t>
      </w:r>
      <w:proofErr w:type="spellStart"/>
      <w:r w:rsidRPr="00B24801">
        <w:rPr>
          <w:rFonts w:cs="Times New Roman"/>
          <w:i/>
        </w:rPr>
        <w:t>Consolidated</w:t>
      </w:r>
      <w:proofErr w:type="spellEnd"/>
      <w:r w:rsidRPr="00B24801">
        <w:rPr>
          <w:rFonts w:cs="Times New Roman"/>
          <w:i/>
        </w:rPr>
        <w:t xml:space="preserve"> </w:t>
      </w:r>
      <w:proofErr w:type="spellStart"/>
      <w:r w:rsidRPr="00B24801">
        <w:rPr>
          <w:rFonts w:cs="Times New Roman"/>
          <w:i/>
        </w:rPr>
        <w:t>Fastfrate</w:t>
      </w:r>
      <w:proofErr w:type="spellEnd"/>
      <w:r w:rsidRPr="00B24801">
        <w:rPr>
          <w:rFonts w:cs="Times New Roman"/>
        </w:rPr>
        <w:t xml:space="preserve">, par. 44). Les travaux et entreprises relèvent </w:t>
      </w:r>
      <w:r w:rsidRPr="00B24801">
        <w:rPr>
          <w:rFonts w:cs="Times New Roman"/>
          <w:i/>
        </w:rPr>
        <w:t>toujours</w:t>
      </w:r>
      <w:r w:rsidRPr="00B24801">
        <w:rPr>
          <w:rFonts w:cs="Times New Roman"/>
        </w:rPr>
        <w:t xml:space="preserve"> de la compétence provinciale, à moins qu’ils ne </w:t>
      </w:r>
      <w:r w:rsidRPr="00B24801">
        <w:rPr>
          <w:rFonts w:cs="Times New Roman"/>
        </w:rPr>
        <w:lastRenderedPageBreak/>
        <w:t xml:space="preserve">satisfassent aux conditions énoncées aux al. a), b) ou c). Même si les rédacteurs de l’al. 92(10)c) ont pu envisager son application aux </w:t>
      </w:r>
      <w:r w:rsidRPr="00B24801">
        <w:rPr>
          <w:rFonts w:cs="Times New Roman"/>
          <w:smallCaps/>
        </w:rPr>
        <w:t>[traduction]</w:t>
      </w:r>
      <w:r w:rsidRPr="00B24801">
        <w:rPr>
          <w:rFonts w:cs="Times New Roman"/>
        </w:rPr>
        <w:t xml:space="preserve"> « travaux publics » d’importance nationale (V. C. MacDonald, « </w:t>
      </w:r>
      <w:proofErr w:type="spellStart"/>
      <w:r w:rsidRPr="00B24801">
        <w:rPr>
          <w:rFonts w:cs="Times New Roman"/>
          <w:iCs/>
        </w:rPr>
        <w:t>Parliamentary</w:t>
      </w:r>
      <w:proofErr w:type="spellEnd"/>
      <w:r w:rsidRPr="00B24801">
        <w:rPr>
          <w:rFonts w:cs="Times New Roman"/>
          <w:iCs/>
        </w:rPr>
        <w:t xml:space="preserve"> </w:t>
      </w:r>
      <w:proofErr w:type="spellStart"/>
      <w:r w:rsidRPr="00B24801">
        <w:rPr>
          <w:rFonts w:cs="Times New Roman"/>
          <w:iCs/>
        </w:rPr>
        <w:t>Jurisdiction</w:t>
      </w:r>
      <w:proofErr w:type="spellEnd"/>
      <w:r w:rsidRPr="00B24801">
        <w:rPr>
          <w:rFonts w:cs="Times New Roman"/>
          <w:iCs/>
        </w:rPr>
        <w:t xml:space="preserve"> by </w:t>
      </w:r>
      <w:proofErr w:type="spellStart"/>
      <w:r w:rsidRPr="00B24801">
        <w:rPr>
          <w:rFonts w:cs="Times New Roman"/>
          <w:iCs/>
        </w:rPr>
        <w:t>Declaration</w:t>
      </w:r>
      <w:proofErr w:type="spellEnd"/>
      <w:r w:rsidRPr="00B24801">
        <w:rPr>
          <w:rFonts w:cs="Times New Roman"/>
        </w:rPr>
        <w:t> » (1934), 1 D.L.R. 1, p. 10; K. Hanssen, « </w:t>
      </w:r>
      <w:r w:rsidRPr="00B24801">
        <w:rPr>
          <w:rFonts w:cs="Times New Roman"/>
          <w:iCs/>
        </w:rPr>
        <w:t xml:space="preserve">The </w:t>
      </w:r>
      <w:proofErr w:type="spellStart"/>
      <w:r w:rsidRPr="00B24801">
        <w:rPr>
          <w:rFonts w:cs="Times New Roman"/>
          <w:iCs/>
        </w:rPr>
        <w:t>Federal</w:t>
      </w:r>
      <w:proofErr w:type="spellEnd"/>
      <w:r w:rsidRPr="00B24801">
        <w:rPr>
          <w:rFonts w:cs="Times New Roman"/>
          <w:iCs/>
        </w:rPr>
        <w:t xml:space="preserve"> </w:t>
      </w:r>
      <w:proofErr w:type="spellStart"/>
      <w:r w:rsidRPr="00B24801">
        <w:rPr>
          <w:rFonts w:cs="Times New Roman"/>
          <w:iCs/>
        </w:rPr>
        <w:t>Declaratory</w:t>
      </w:r>
      <w:proofErr w:type="spellEnd"/>
      <w:r w:rsidRPr="00B24801">
        <w:rPr>
          <w:rFonts w:cs="Times New Roman"/>
          <w:iCs/>
        </w:rPr>
        <w:t xml:space="preserve"> Power </w:t>
      </w:r>
      <w:r w:rsidRPr="00B24801">
        <w:rPr>
          <w:rFonts w:cs="Times New Roman"/>
        </w:rPr>
        <w:t xml:space="preserve">Under the British North America </w:t>
      </w:r>
      <w:proofErr w:type="spellStart"/>
      <w:r w:rsidRPr="00B24801">
        <w:rPr>
          <w:rFonts w:cs="Times New Roman"/>
        </w:rPr>
        <w:t>Act</w:t>
      </w:r>
      <w:proofErr w:type="spellEnd"/>
      <w:r w:rsidRPr="00B24801">
        <w:rPr>
          <w:rFonts w:cs="Times New Roman"/>
        </w:rPr>
        <w:t xml:space="preserve"> » (1968), 3:1 </w:t>
      </w:r>
      <w:r w:rsidRPr="00B24801">
        <w:rPr>
          <w:rFonts w:cs="Times New Roman"/>
          <w:i/>
        </w:rPr>
        <w:t>Man. L.J.</w:t>
      </w:r>
      <w:r w:rsidRPr="00B24801">
        <w:rPr>
          <w:rFonts w:cs="Times New Roman"/>
        </w:rPr>
        <w:t xml:space="preserve"> 87, p. 88-91; </w:t>
      </w:r>
      <w:proofErr w:type="spellStart"/>
      <w:r w:rsidRPr="00B24801">
        <w:rPr>
          <w:rFonts w:cs="Times New Roman"/>
          <w:i/>
        </w:rPr>
        <w:t>Consolidated</w:t>
      </w:r>
      <w:proofErr w:type="spellEnd"/>
      <w:r w:rsidRPr="00B24801">
        <w:rPr>
          <w:rFonts w:cs="Times New Roman"/>
          <w:i/>
        </w:rPr>
        <w:t xml:space="preserve"> </w:t>
      </w:r>
      <w:proofErr w:type="spellStart"/>
      <w:r w:rsidRPr="00B24801">
        <w:rPr>
          <w:rFonts w:cs="Times New Roman"/>
          <w:i/>
        </w:rPr>
        <w:t>Fastfrate</w:t>
      </w:r>
      <w:proofErr w:type="spellEnd"/>
      <w:r w:rsidRPr="00B24801">
        <w:rPr>
          <w:rFonts w:cs="Times New Roman"/>
        </w:rPr>
        <w:t xml:space="preserve">, par. 33), la disposition n’impose pas de telles limites, et permet ainsi au Parlement de déclarer tous les travaux « entièrement situés dans la province [. . .] être pour l’avantage général du Canada » (al. 92(10)c)). Une telle </w:t>
      </w:r>
      <w:r w:rsidRPr="00B24801">
        <w:rPr>
          <w:rFonts w:cs="Times New Roman"/>
          <w:smallCaps/>
        </w:rPr>
        <w:t>[traduction]</w:t>
      </w:r>
      <w:r w:rsidRPr="00B24801">
        <w:rPr>
          <w:rFonts w:cs="Times New Roman"/>
        </w:rPr>
        <w:t xml:space="preserve"> « déclaration unilatérale » du Parlement a pour effet « de transférer les travaux faisant l’objet d’une exception » qui sont du ressort des provinces et, par l’application du par. 91(29), de « les soumettre à la compétence et au contrôle exclusifs du Parlement fédéral [. . .] comme si ces matières transférées étaient expressément énumérées à l’art. 91 » (P. Schwartz, « </w:t>
      </w:r>
      <w:r w:rsidRPr="00B24801">
        <w:rPr>
          <w:rFonts w:cs="Times New Roman"/>
          <w:iCs/>
        </w:rPr>
        <w:t xml:space="preserve">Fiat by </w:t>
      </w:r>
      <w:proofErr w:type="spellStart"/>
      <w:r w:rsidRPr="00B24801">
        <w:rPr>
          <w:rFonts w:cs="Times New Roman"/>
          <w:iCs/>
        </w:rPr>
        <w:t>Declaration</w:t>
      </w:r>
      <w:proofErr w:type="spellEnd"/>
      <w:r w:rsidRPr="00B24801">
        <w:rPr>
          <w:rFonts w:cs="Times New Roman"/>
          <w:iCs/>
        </w:rPr>
        <w:t xml:space="preserve"> — S. 92(10)(c) of</w:t>
      </w:r>
      <w:r w:rsidRPr="00B24801">
        <w:rPr>
          <w:rFonts w:cs="Times New Roman"/>
          <w:i/>
          <w:iCs/>
        </w:rPr>
        <w:t xml:space="preserve"> The British North America </w:t>
      </w:r>
      <w:proofErr w:type="spellStart"/>
      <w:r w:rsidRPr="00B24801">
        <w:rPr>
          <w:rFonts w:cs="Times New Roman"/>
          <w:i/>
          <w:iCs/>
        </w:rPr>
        <w:t>Act</w:t>
      </w:r>
      <w:proofErr w:type="spellEnd"/>
      <w:r w:rsidRPr="00B24801">
        <w:rPr>
          <w:rFonts w:cs="Times New Roman"/>
        </w:rPr>
        <w:t xml:space="preserve"> » (1960), 2 </w:t>
      </w:r>
      <w:proofErr w:type="spellStart"/>
      <w:r w:rsidRPr="00B24801">
        <w:rPr>
          <w:rFonts w:cs="Times New Roman"/>
          <w:i/>
        </w:rPr>
        <w:t>Osgoode</w:t>
      </w:r>
      <w:proofErr w:type="spellEnd"/>
      <w:r w:rsidRPr="00B24801">
        <w:rPr>
          <w:rFonts w:cs="Times New Roman"/>
          <w:i/>
        </w:rPr>
        <w:t xml:space="preserve"> Hall L.J. </w:t>
      </w:r>
      <w:r w:rsidRPr="00B24801">
        <w:rPr>
          <w:rFonts w:cs="Times New Roman"/>
        </w:rPr>
        <w:t xml:space="preserve">1, p. 1 et 12, renvoyant à </w:t>
      </w:r>
      <w:r w:rsidRPr="00B24801">
        <w:rPr>
          <w:rFonts w:cs="Times New Roman"/>
          <w:i/>
        </w:rPr>
        <w:t xml:space="preserve">City of </w:t>
      </w:r>
      <w:proofErr w:type="spellStart"/>
      <w:r w:rsidRPr="00B24801">
        <w:rPr>
          <w:rFonts w:cs="Times New Roman"/>
          <w:i/>
        </w:rPr>
        <w:t>Montreal</w:t>
      </w:r>
      <w:proofErr w:type="spellEnd"/>
      <w:r w:rsidRPr="00B24801">
        <w:rPr>
          <w:rFonts w:cs="Times New Roman"/>
          <w:i/>
        </w:rPr>
        <w:t xml:space="preserve"> c. </w:t>
      </w:r>
      <w:proofErr w:type="spellStart"/>
      <w:r w:rsidRPr="00B24801">
        <w:rPr>
          <w:rFonts w:cs="Times New Roman"/>
          <w:i/>
        </w:rPr>
        <w:t>Montreal</w:t>
      </w:r>
      <w:proofErr w:type="spellEnd"/>
      <w:r w:rsidRPr="00B24801">
        <w:rPr>
          <w:rFonts w:cs="Times New Roman"/>
          <w:i/>
        </w:rPr>
        <w:t xml:space="preserve"> Street Railway</w:t>
      </w:r>
      <w:r w:rsidRPr="00B24801">
        <w:rPr>
          <w:rFonts w:cs="Times New Roman"/>
        </w:rPr>
        <w:t>, [1912] A.C. 333 (C.P.), p. 342).</w:t>
      </w:r>
      <w:bookmarkEnd w:id="89"/>
    </w:p>
    <w:p w14:paraId="570053DD" w14:textId="77777777" w:rsidR="007B47A0" w:rsidRPr="00B24801" w:rsidRDefault="007B47A0" w:rsidP="007B47A0">
      <w:pPr>
        <w:pStyle w:val="ParaNoNdepar-AltN"/>
        <w:rPr>
          <w:rFonts w:cs="Times New Roman"/>
        </w:rPr>
      </w:pPr>
      <w:r w:rsidRPr="00B24801">
        <w:rPr>
          <w:rFonts w:cs="Times New Roman"/>
        </w:rPr>
        <w:t xml:space="preserve">Considéré </w:t>
      </w:r>
      <w:r w:rsidRPr="00B24801">
        <w:rPr>
          <w:rFonts w:cs="Times New Roman"/>
          <w:smallCaps/>
        </w:rPr>
        <w:t>[traduction]</w:t>
      </w:r>
      <w:r w:rsidRPr="00B24801">
        <w:rPr>
          <w:rFonts w:cs="Times New Roman"/>
        </w:rPr>
        <w:t xml:space="preserve"> « extraordinaire » par les professeurs Peter W. Hogg et Wade K. Wright, le pouvoir déclaratoire s’intègre difficilement dans la structure fédérale du Canada (</w:t>
      </w:r>
      <w:proofErr w:type="spellStart"/>
      <w:r w:rsidRPr="00B24801">
        <w:rPr>
          <w:rFonts w:cs="Times New Roman"/>
          <w:i/>
        </w:rPr>
        <w:t>Constitutional</w:t>
      </w:r>
      <w:proofErr w:type="spellEnd"/>
      <w:r w:rsidRPr="00B24801">
        <w:rPr>
          <w:rFonts w:cs="Times New Roman"/>
          <w:i/>
        </w:rPr>
        <w:t xml:space="preserve"> Law of Canada </w:t>
      </w:r>
      <w:r w:rsidRPr="00B24801">
        <w:rPr>
          <w:rFonts w:cs="Times New Roman"/>
        </w:rPr>
        <w:t>(5</w:t>
      </w:r>
      <w:r w:rsidRPr="00B24801">
        <w:rPr>
          <w:rFonts w:cs="Times New Roman"/>
          <w:vertAlign w:val="superscript"/>
        </w:rPr>
        <w:t>e</w:t>
      </w:r>
      <w:r w:rsidRPr="00B24801">
        <w:rPr>
          <w:rFonts w:cs="Times New Roman"/>
        </w:rPr>
        <w:t xml:space="preserve"> éd. suppl.), § 22:10; voir aussi Brun, Tremblay et Brouillet, par. VI-1.102; P. J. Monahan, B. Shaw et P. Ryan, </w:t>
      </w:r>
      <w:proofErr w:type="spellStart"/>
      <w:r w:rsidRPr="00B24801">
        <w:rPr>
          <w:rFonts w:cs="Times New Roman"/>
          <w:i/>
        </w:rPr>
        <w:t>Constitutional</w:t>
      </w:r>
      <w:proofErr w:type="spellEnd"/>
      <w:r w:rsidRPr="00B24801">
        <w:rPr>
          <w:rFonts w:cs="Times New Roman"/>
          <w:i/>
        </w:rPr>
        <w:t xml:space="preserve"> Law</w:t>
      </w:r>
      <w:r w:rsidRPr="00B24801">
        <w:rPr>
          <w:rFonts w:cs="Times New Roman"/>
        </w:rPr>
        <w:t xml:space="preserve"> (5</w:t>
      </w:r>
      <w:r w:rsidRPr="00B24801">
        <w:rPr>
          <w:rFonts w:cs="Times New Roman"/>
          <w:vertAlign w:val="superscript"/>
        </w:rPr>
        <w:t>e</w:t>
      </w:r>
      <w:r w:rsidRPr="00B24801">
        <w:rPr>
          <w:rFonts w:cs="Times New Roman"/>
        </w:rPr>
        <w:t xml:space="preserve"> éd. 2017), p. 394; F. Chevrette et H. Marx, </w:t>
      </w:r>
      <w:r w:rsidRPr="00B24801">
        <w:rPr>
          <w:rFonts w:cs="Times New Roman"/>
          <w:i/>
        </w:rPr>
        <w:t>Droit constitutionnel : Principes fondamentaux : Notes et jurisprudence</w:t>
      </w:r>
      <w:r w:rsidRPr="00B24801">
        <w:rPr>
          <w:rFonts w:cs="Times New Roman"/>
        </w:rPr>
        <w:t xml:space="preserve"> (2</w:t>
      </w:r>
      <w:r w:rsidRPr="00B24801">
        <w:rPr>
          <w:rFonts w:cs="Times New Roman"/>
          <w:vertAlign w:val="superscript"/>
        </w:rPr>
        <w:t>e</w:t>
      </w:r>
      <w:r w:rsidRPr="00B24801">
        <w:rPr>
          <w:rFonts w:cs="Times New Roman"/>
        </w:rPr>
        <w:t xml:space="preserve"> éd. rév. 2021), p. 922; Lajoie, p. 21). Le professeur </w:t>
      </w:r>
      <w:proofErr w:type="spellStart"/>
      <w:r w:rsidRPr="00B24801">
        <w:rPr>
          <w:rFonts w:cs="Times New Roman"/>
        </w:rPr>
        <w:t>Gérard-A</w:t>
      </w:r>
      <w:proofErr w:type="spellEnd"/>
      <w:r w:rsidRPr="00B24801">
        <w:rPr>
          <w:rFonts w:cs="Times New Roman"/>
        </w:rPr>
        <w:t xml:space="preserve">. Beaudoin a décrit ce pouvoir comme « un </w:t>
      </w:r>
      <w:r w:rsidRPr="00B24801">
        <w:rPr>
          <w:rFonts w:cs="Times New Roman"/>
        </w:rPr>
        <w:lastRenderedPageBreak/>
        <w:t>accroc aux principes mêmes du fédéralisme », en faisant valoir que « son usage peut très facilement devenir sujet à de vives critiques » (</w:t>
      </w:r>
      <w:r w:rsidRPr="00B24801">
        <w:rPr>
          <w:rFonts w:cs="Times New Roman"/>
          <w:i/>
        </w:rPr>
        <w:t>Le partage des pouvoirs</w:t>
      </w:r>
      <w:r w:rsidRPr="00B24801">
        <w:rPr>
          <w:rFonts w:cs="Times New Roman"/>
        </w:rPr>
        <w:t xml:space="preserve"> (3</w:t>
      </w:r>
      <w:r w:rsidRPr="00B24801">
        <w:rPr>
          <w:rFonts w:cs="Times New Roman"/>
          <w:vertAlign w:val="superscript"/>
        </w:rPr>
        <w:t>e</w:t>
      </w:r>
      <w:r w:rsidRPr="00B24801">
        <w:rPr>
          <w:rFonts w:cs="Times New Roman"/>
        </w:rPr>
        <w:t xml:space="preserve"> éd. 1983), p. 283). Depuis les débuts de l’utilisation du pouvoir déclaratoire, les provinces craignent que le Parlement n’y recoure unilatéralement pour s’attribuer compétence sur les travaux (voir </w:t>
      </w:r>
      <w:r w:rsidRPr="00B24801">
        <w:rPr>
          <w:rFonts w:cs="Times New Roman"/>
          <w:i/>
        </w:rPr>
        <w:t xml:space="preserve">In Re </w:t>
      </w:r>
      <w:proofErr w:type="spellStart"/>
      <w:r w:rsidRPr="00B24801">
        <w:rPr>
          <w:rFonts w:cs="Times New Roman"/>
          <w:i/>
        </w:rPr>
        <w:t>Companies</w:t>
      </w:r>
      <w:proofErr w:type="spellEnd"/>
      <w:r w:rsidRPr="00B24801">
        <w:rPr>
          <w:rFonts w:cs="Times New Roman"/>
        </w:rPr>
        <w:t xml:space="preserve"> (1913), 48 R.C.S. 331, p. 425-426; </w:t>
      </w:r>
      <w:r w:rsidRPr="00B24801">
        <w:rPr>
          <w:rFonts w:cs="Times New Roman"/>
          <w:i/>
        </w:rPr>
        <w:t>Kerley c. London and Lake Erie Railway and Transportation Co.</w:t>
      </w:r>
      <w:r w:rsidRPr="00B24801">
        <w:rPr>
          <w:rFonts w:cs="Times New Roman"/>
        </w:rPr>
        <w:t xml:space="preserve"> (1913), 13 D.L.R. 365, p. 374). À plusieurs moments importants, les provinces ont insisté pour que leur consentement soit une condition préalable à l’exercice du pouvoir déclaratoire (voir, p. ex., Commission de l’unité canadienne, </w:t>
      </w:r>
      <w:r w:rsidRPr="00B24801">
        <w:rPr>
          <w:rFonts w:cs="Times New Roman"/>
          <w:i/>
        </w:rPr>
        <w:t>Se retrouver : observations et recommandations</w:t>
      </w:r>
      <w:r w:rsidRPr="00B24801">
        <w:rPr>
          <w:rFonts w:cs="Times New Roman"/>
        </w:rPr>
        <w:t xml:space="preserve"> (1979), p. 93; Hogg et Wright, § 22:10, note 23). Le pouvoir déclaratoire, de même que les pouvoirs fédéraux de désaveu et de réserve, étaient considérés comme des </w:t>
      </w:r>
      <w:r w:rsidRPr="00B24801">
        <w:rPr>
          <w:rFonts w:cs="Times New Roman"/>
          <w:smallCaps/>
        </w:rPr>
        <w:t>[traduction]</w:t>
      </w:r>
      <w:r w:rsidRPr="00B24801">
        <w:rPr>
          <w:rFonts w:cs="Times New Roman"/>
        </w:rPr>
        <w:t xml:space="preserve"> « éléments unitaires » (</w:t>
      </w:r>
      <w:proofErr w:type="spellStart"/>
      <w:r w:rsidRPr="00B24801">
        <w:rPr>
          <w:rFonts w:cs="Times New Roman"/>
        </w:rPr>
        <w:t>Wheare</w:t>
      </w:r>
      <w:proofErr w:type="spellEnd"/>
      <w:r w:rsidRPr="00B24801">
        <w:rPr>
          <w:rFonts w:cs="Times New Roman"/>
        </w:rPr>
        <w:t>, p. 18-21; voir aussi R. H. McKercher, « </w:t>
      </w:r>
      <w:proofErr w:type="spellStart"/>
      <w:r w:rsidRPr="00B24801">
        <w:rPr>
          <w:rFonts w:cs="Times New Roman"/>
          <w:iCs/>
        </w:rPr>
        <w:t>Parliament’s</w:t>
      </w:r>
      <w:proofErr w:type="spellEnd"/>
      <w:r w:rsidRPr="00B24801">
        <w:rPr>
          <w:rFonts w:cs="Times New Roman"/>
          <w:iCs/>
        </w:rPr>
        <w:t xml:space="preserve"> </w:t>
      </w:r>
      <w:proofErr w:type="spellStart"/>
      <w:r w:rsidRPr="00B24801">
        <w:rPr>
          <w:rFonts w:cs="Times New Roman"/>
          <w:iCs/>
        </w:rPr>
        <w:t>Declaratory</w:t>
      </w:r>
      <w:proofErr w:type="spellEnd"/>
      <w:r w:rsidRPr="00B24801">
        <w:rPr>
          <w:rFonts w:cs="Times New Roman"/>
          <w:iCs/>
        </w:rPr>
        <w:t xml:space="preserve"> Power</w:t>
      </w:r>
      <w:r w:rsidRPr="00B24801">
        <w:rPr>
          <w:rFonts w:cs="Times New Roman"/>
          <w:i/>
          <w:iCs/>
        </w:rPr>
        <w:t> »</w:t>
      </w:r>
      <w:r w:rsidRPr="00B24801">
        <w:rPr>
          <w:rFonts w:cs="Times New Roman"/>
        </w:rPr>
        <w:t xml:space="preserve"> (1955), 20 </w:t>
      </w:r>
      <w:proofErr w:type="spellStart"/>
      <w:r w:rsidRPr="00B24801">
        <w:rPr>
          <w:rFonts w:cs="Times New Roman"/>
          <w:i/>
        </w:rPr>
        <w:t>Sask</w:t>
      </w:r>
      <w:proofErr w:type="spellEnd"/>
      <w:r w:rsidRPr="00B24801">
        <w:rPr>
          <w:rFonts w:cs="Times New Roman"/>
          <w:i/>
        </w:rPr>
        <w:t>. Bar Rev.</w:t>
      </w:r>
      <w:r w:rsidRPr="00B24801">
        <w:rPr>
          <w:rFonts w:cs="Times New Roman"/>
        </w:rPr>
        <w:t xml:space="preserve"> 3, p. 4). Bien que les pouvoirs de désaveu et de réserve soient tombés en désuétude, le Parlement continue d’exercer le pouvoir déclaratoire, bien qu’avec parcimonie. L’idée selon laquelle le pouvoir déclaratoire est </w:t>
      </w:r>
      <w:r w:rsidRPr="00B24801">
        <w:rPr>
          <w:rFonts w:cs="Times New Roman"/>
          <w:smallCaps/>
        </w:rPr>
        <w:t>[traduction]</w:t>
      </w:r>
      <w:r w:rsidRPr="00B24801">
        <w:rPr>
          <w:rFonts w:cs="Times New Roman"/>
        </w:rPr>
        <w:t xml:space="preserve"> « une imperfection du fédéralisme canadien » semble avoir contribué à l’utilisation plus circonspecte qui en a été faite au cours des dernières années (J. Webber, </w:t>
      </w:r>
      <w:r w:rsidRPr="00B24801">
        <w:rPr>
          <w:rFonts w:cs="Times New Roman"/>
          <w:i/>
        </w:rPr>
        <w:t xml:space="preserve">The Constitution of Canada : A </w:t>
      </w:r>
      <w:proofErr w:type="spellStart"/>
      <w:r w:rsidRPr="00B24801">
        <w:rPr>
          <w:rFonts w:cs="Times New Roman"/>
          <w:i/>
        </w:rPr>
        <w:t>Contextual</w:t>
      </w:r>
      <w:proofErr w:type="spellEnd"/>
      <w:r w:rsidRPr="00B24801">
        <w:rPr>
          <w:rFonts w:cs="Times New Roman"/>
          <w:i/>
        </w:rPr>
        <w:t xml:space="preserve"> </w:t>
      </w:r>
      <w:proofErr w:type="spellStart"/>
      <w:r w:rsidRPr="00B24801">
        <w:rPr>
          <w:rFonts w:cs="Times New Roman"/>
          <w:i/>
        </w:rPr>
        <w:t>Analysis</w:t>
      </w:r>
      <w:proofErr w:type="spellEnd"/>
      <w:r w:rsidRPr="00B24801">
        <w:rPr>
          <w:rFonts w:cs="Times New Roman"/>
        </w:rPr>
        <w:t xml:space="preserve"> (2</w:t>
      </w:r>
      <w:r w:rsidRPr="00B24801">
        <w:rPr>
          <w:rFonts w:cs="Times New Roman"/>
          <w:vertAlign w:val="superscript"/>
        </w:rPr>
        <w:t>e</w:t>
      </w:r>
      <w:r w:rsidRPr="00B24801">
        <w:rPr>
          <w:rFonts w:cs="Times New Roman"/>
        </w:rPr>
        <w:t xml:space="preserve"> éd. 2021), p. 143).</w:t>
      </w:r>
    </w:p>
    <w:p w14:paraId="429E1B9A" w14:textId="77777777" w:rsidR="007B47A0" w:rsidRPr="00B24801" w:rsidRDefault="007B47A0" w:rsidP="007B47A0">
      <w:pPr>
        <w:pStyle w:val="ParaNoNdepar-AltN"/>
        <w:rPr>
          <w:rFonts w:cs="Times New Roman"/>
        </w:rPr>
      </w:pPr>
      <w:r w:rsidRPr="00B24801">
        <w:rPr>
          <w:rFonts w:cs="Times New Roman"/>
        </w:rPr>
        <w:t xml:space="preserve">Dans son étude de 470 cas d’exercice du pouvoir déclaratoire par le Parlement, la professeure Lajoie a fait remarquer que « [l]es propriétaires des ouvrages déclarés à l’avantage général du Canada ont souvent demandé et obtenu ces </w:t>
      </w:r>
      <w:r w:rsidRPr="00B24801">
        <w:rPr>
          <w:rFonts w:cs="Times New Roman"/>
        </w:rPr>
        <w:lastRenderedPageBreak/>
        <w:t>déclarations pour échapper aux lois provinciales du travail » (p. 88). Le risque d’abuser du pouvoir déclaratoire pour étendre de façon unilatérale la compétence fédérale n’est donc pas purement théorique. En effet, interpréter correctement l’al. 92(10)c) sur lequel s’appuie le pouvoir déclaratoire permet d’éviter un élargissement injustifié de la compétence fédérale. Comme l’écrivait le juge Beetz, alors professeur de droit, « [i]l y a peu de limites connues à la faculté que possède le pouvoir fédéral d’augmenter unilatéralement sa compétence en déclarant que certains travaux profitent au Canada » (« </w:t>
      </w:r>
      <w:r w:rsidRPr="00B24801">
        <w:rPr>
          <w:rFonts w:cs="Times New Roman"/>
          <w:iCs/>
        </w:rPr>
        <w:t>Les Attitudes changeantes du Québec à l’endroit de la Constitution de 1867 »</w:t>
      </w:r>
      <w:r w:rsidRPr="00B24801">
        <w:rPr>
          <w:rFonts w:cs="Times New Roman"/>
        </w:rPr>
        <w:t xml:space="preserve">, dans P.-A. Crépeau et C. B. Macpherson, </w:t>
      </w:r>
      <w:proofErr w:type="spellStart"/>
      <w:r w:rsidRPr="00B24801">
        <w:rPr>
          <w:rFonts w:cs="Times New Roman"/>
        </w:rPr>
        <w:t>dir</w:t>
      </w:r>
      <w:proofErr w:type="spellEnd"/>
      <w:r w:rsidRPr="00B24801">
        <w:rPr>
          <w:rFonts w:cs="Times New Roman"/>
        </w:rPr>
        <w:t xml:space="preserve">., </w:t>
      </w:r>
      <w:r w:rsidRPr="00B24801">
        <w:rPr>
          <w:rFonts w:cs="Times New Roman"/>
          <w:i/>
          <w:iCs/>
        </w:rPr>
        <w:t>L’Avenir du fédéralisme canadien</w:t>
      </w:r>
      <w:r w:rsidRPr="00B24801">
        <w:rPr>
          <w:rFonts w:cs="Times New Roman"/>
        </w:rPr>
        <w:t xml:space="preserve"> (1965), 113, p. 132). Le professeur Fabien Gélinas a fait remarquer que la compétence fédérale sur les ouvrages déclarés diffère de nombreux autres chefs de compétence fédérale, parce qu’elle est dénuée de toute matière qui lui serve de contenu propre, ce qui la rend « très englobant[e] du point de vue fédéral, un grand nombre de matières étant susceptible de s’y rattacher » (« La doctrine des immunités </w:t>
      </w:r>
      <w:proofErr w:type="spellStart"/>
      <w:r w:rsidRPr="00B24801">
        <w:rPr>
          <w:rFonts w:cs="Times New Roman"/>
        </w:rPr>
        <w:t>interjuridictionnelles</w:t>
      </w:r>
      <w:proofErr w:type="spellEnd"/>
      <w:r w:rsidRPr="00B24801">
        <w:rPr>
          <w:rFonts w:cs="Times New Roman"/>
        </w:rPr>
        <w:t xml:space="preserve"> dans le partage des compétences: éléments de systématisation », dans J.-L. Baudouin et autres, </w:t>
      </w:r>
      <w:proofErr w:type="spellStart"/>
      <w:r w:rsidRPr="00B24801">
        <w:rPr>
          <w:rFonts w:cs="Times New Roman"/>
        </w:rPr>
        <w:t>dir</w:t>
      </w:r>
      <w:proofErr w:type="spellEnd"/>
      <w:r w:rsidRPr="00B24801">
        <w:rPr>
          <w:rFonts w:cs="Times New Roman"/>
        </w:rPr>
        <w:t xml:space="preserve">., </w:t>
      </w:r>
      <w:r w:rsidRPr="00B24801">
        <w:rPr>
          <w:rFonts w:cs="Times New Roman"/>
          <w:i/>
        </w:rPr>
        <w:t>Mélanges Jean Beetz</w:t>
      </w:r>
      <w:r w:rsidRPr="00B24801">
        <w:rPr>
          <w:rFonts w:cs="Times New Roman"/>
        </w:rPr>
        <w:t xml:space="preserve"> (1995), 471, p. 486-487). </w:t>
      </w:r>
    </w:p>
    <w:p w14:paraId="4695C660" w14:textId="77777777" w:rsidR="007B47A0" w:rsidRPr="00B24801" w:rsidRDefault="007B47A0" w:rsidP="007B47A0">
      <w:pPr>
        <w:pStyle w:val="ParaNoNdepar-AltN"/>
        <w:rPr>
          <w:rFonts w:cs="Times New Roman"/>
        </w:rPr>
      </w:pPr>
      <w:r w:rsidRPr="00B24801">
        <w:rPr>
          <w:rFonts w:cs="Times New Roman"/>
        </w:rPr>
        <w:t>L’examen judiciaire ne porte que sur la question de savoir si l’objet de la déclaration est un « ouvrage » et si la déclaration est expressément faite dans une loi (</w:t>
      </w:r>
      <w:r w:rsidRPr="00B24801">
        <w:rPr>
          <w:rFonts w:cs="Times New Roman"/>
          <w:i/>
        </w:rPr>
        <w:t>Jorgenson c. Procureur général du Canada</w:t>
      </w:r>
      <w:r w:rsidRPr="00B24801">
        <w:rPr>
          <w:rFonts w:cs="Times New Roman"/>
        </w:rPr>
        <w:t xml:space="preserve">, [1971] R.C.S. 725, p. 729; Hanssen, p. 94-97; MacDonald, p. 16-17). En effet, les tribunaux </w:t>
      </w:r>
      <w:r w:rsidRPr="00B24801">
        <w:rPr>
          <w:rFonts w:cs="Times New Roman"/>
          <w:smallCaps/>
        </w:rPr>
        <w:t>[traduction]</w:t>
      </w:r>
      <w:r w:rsidRPr="00B24801">
        <w:rPr>
          <w:rFonts w:cs="Times New Roman"/>
        </w:rPr>
        <w:t xml:space="preserve"> « </w:t>
      </w:r>
      <w:proofErr w:type="gramStart"/>
      <w:r w:rsidRPr="00B24801">
        <w:rPr>
          <w:rFonts w:cs="Times New Roman"/>
        </w:rPr>
        <w:t>n[</w:t>
      </w:r>
      <w:proofErr w:type="gramEnd"/>
      <w:r w:rsidRPr="00B24801">
        <w:rPr>
          <w:rFonts w:cs="Times New Roman"/>
        </w:rPr>
        <w:t xml:space="preserve">’ont pas] </w:t>
      </w:r>
      <w:proofErr w:type="spellStart"/>
      <w:r w:rsidRPr="00B24801">
        <w:rPr>
          <w:rFonts w:cs="Times New Roman"/>
        </w:rPr>
        <w:t>substitu</w:t>
      </w:r>
      <w:proofErr w:type="spellEnd"/>
      <w:r w:rsidRPr="00B24801">
        <w:rPr>
          <w:rFonts w:cs="Times New Roman"/>
        </w:rPr>
        <w:t xml:space="preserve">[é] [leur] jugement à celui du Parlement quant à savoir ce qui est ou n’est pas à l’“avantage général” du Canada », non plus qu’ils </w:t>
      </w:r>
      <w:proofErr w:type="gramStart"/>
      <w:r w:rsidRPr="00B24801">
        <w:rPr>
          <w:rFonts w:cs="Times New Roman"/>
        </w:rPr>
        <w:t>ont</w:t>
      </w:r>
      <w:proofErr w:type="gramEnd"/>
      <w:r w:rsidRPr="00B24801">
        <w:rPr>
          <w:rFonts w:cs="Times New Roman"/>
        </w:rPr>
        <w:t xml:space="preserve"> invalidé des déclarations faites </w:t>
      </w:r>
      <w:r w:rsidRPr="00B24801">
        <w:rPr>
          <w:rFonts w:cs="Times New Roman"/>
        </w:rPr>
        <w:lastRenderedPageBreak/>
        <w:t xml:space="preserve">par voie législative pour ce motif (Hanssen, p. 103; voir, p. ex., </w:t>
      </w:r>
      <w:r w:rsidRPr="00B24801">
        <w:rPr>
          <w:rFonts w:cs="Times New Roman"/>
          <w:i/>
        </w:rPr>
        <w:t xml:space="preserve">In Re </w:t>
      </w:r>
      <w:proofErr w:type="spellStart"/>
      <w:r w:rsidRPr="00B24801">
        <w:rPr>
          <w:rFonts w:cs="Times New Roman"/>
          <w:i/>
        </w:rPr>
        <w:t>Companies</w:t>
      </w:r>
      <w:proofErr w:type="spellEnd"/>
      <w:r w:rsidRPr="00B24801">
        <w:rPr>
          <w:rFonts w:cs="Times New Roman"/>
        </w:rPr>
        <w:t xml:space="preserve">, p. 426; </w:t>
      </w:r>
      <w:proofErr w:type="spellStart"/>
      <w:r w:rsidRPr="00B24801">
        <w:rPr>
          <w:rFonts w:cs="Times New Roman"/>
          <w:i/>
        </w:rPr>
        <w:t>Luscar</w:t>
      </w:r>
      <w:proofErr w:type="spellEnd"/>
      <w:r w:rsidRPr="00B24801">
        <w:rPr>
          <w:rFonts w:cs="Times New Roman"/>
          <w:i/>
        </w:rPr>
        <w:t xml:space="preserve"> </w:t>
      </w:r>
      <w:proofErr w:type="spellStart"/>
      <w:r w:rsidRPr="00B24801">
        <w:rPr>
          <w:rFonts w:cs="Times New Roman"/>
          <w:i/>
        </w:rPr>
        <w:t>Collieries</w:t>
      </w:r>
      <w:proofErr w:type="spellEnd"/>
      <w:r w:rsidRPr="00B24801">
        <w:rPr>
          <w:rFonts w:cs="Times New Roman"/>
          <w:i/>
        </w:rPr>
        <w:t xml:space="preserve"> Ltd. c. McDonald</w:t>
      </w:r>
      <w:r w:rsidRPr="00B24801">
        <w:rPr>
          <w:rFonts w:cs="Times New Roman"/>
        </w:rPr>
        <w:t>, [1925] R.C.S. 460, p. 480). Le terme « ouvrage » remplit donc une importante fonction restrictive en prévenant l’élargissement unilatéral de la compétence fédérale. Bref, une loi ne peut déclarer qu’une entreprise est à l’avantage général du Canada. Une entreprise ne relèvera de la compétence fédérale que si elle a un lien particulier avec l’ouvrage déclaré.</w:t>
      </w:r>
    </w:p>
    <w:p w14:paraId="7AE82C22" w14:textId="77777777" w:rsidR="007B47A0" w:rsidRPr="00B24801" w:rsidRDefault="007B47A0" w:rsidP="007B47A0">
      <w:pPr>
        <w:pStyle w:val="ParaNoNdepar-AltN"/>
        <w:rPr>
          <w:rFonts w:cs="Times New Roman"/>
        </w:rPr>
      </w:pPr>
      <w:r w:rsidRPr="00B24801">
        <w:rPr>
          <w:rFonts w:cs="Times New Roman"/>
        </w:rPr>
        <w:t>Comme l’a souligné le juge en chef Lamer, « [l]a compétence fédérale sur ces ouvrages doit être soigneusement décrite de façon à respecter et à mettre en œuvre le partage des compétences législatives sur lequel est fondé notre régime constitutionnel fédéral » (</w:t>
      </w:r>
      <w:r w:rsidRPr="00B24801">
        <w:rPr>
          <w:rFonts w:cs="Times New Roman"/>
          <w:i/>
        </w:rPr>
        <w:t>Ontario Hydro</w:t>
      </w:r>
      <w:r w:rsidRPr="00B24801">
        <w:rPr>
          <w:rFonts w:cs="Times New Roman"/>
        </w:rPr>
        <w:t xml:space="preserve">, p. 340). </w:t>
      </w:r>
      <w:bookmarkStart w:id="90" w:name="_Hlk233218630"/>
      <w:r w:rsidRPr="00B24801">
        <w:rPr>
          <w:rFonts w:cs="Times New Roman"/>
        </w:rPr>
        <w:t xml:space="preserve">Depuis sa décision dans le </w:t>
      </w:r>
      <w:r w:rsidRPr="00B24801">
        <w:rPr>
          <w:rFonts w:cs="Times New Roman"/>
          <w:i/>
          <w:iCs/>
        </w:rPr>
        <w:t>Renvoi relatif à la sécession</w:t>
      </w:r>
      <w:r w:rsidRPr="00B24801">
        <w:rPr>
          <w:rFonts w:cs="Times New Roman"/>
        </w:rPr>
        <w:t>, notre Cour a fermement affirmé que le principe du fédéralisme demeurait un « thème central dans la structure de notre Constitution » qui sous-tend l’interprétation de celle-ci (par. 57). Comme l’a souligné la Cour, « [l]e principe du fédéralisme exige que le tribunal qui interprète des textes constitutionnels tienne compte des répercussions des différentes interprétations sur l’équilibre entre les intérêts du fédéral et ceux des provinces » (</w:t>
      </w:r>
      <w:r w:rsidRPr="00B24801">
        <w:rPr>
          <w:rFonts w:cs="Times New Roman"/>
          <w:i/>
        </w:rPr>
        <w:t xml:space="preserve">R. c. </w:t>
      </w:r>
      <w:r w:rsidRPr="00B24801">
        <w:rPr>
          <w:rFonts w:cs="Times New Roman"/>
          <w:i/>
          <w:iCs/>
        </w:rPr>
        <w:t>Comeau</w:t>
      </w:r>
      <w:r w:rsidRPr="00B24801">
        <w:rPr>
          <w:rFonts w:cs="Times New Roman"/>
        </w:rPr>
        <w:t>, 2018 CSC 15, [2018] 1 R.C.S. 342, par. 78).</w:t>
      </w:r>
    </w:p>
    <w:p w14:paraId="37F21DB2" w14:textId="77777777" w:rsidR="007B47A0" w:rsidRPr="00B24801" w:rsidRDefault="007B47A0" w:rsidP="007B47A0">
      <w:pPr>
        <w:pStyle w:val="ParaNoNdepar-AltN"/>
        <w:tabs>
          <w:tab w:val="clear" w:pos="1152"/>
          <w:tab w:val="left" w:pos="1166"/>
        </w:tabs>
        <w:rPr>
          <w:rFonts w:cs="Times New Roman"/>
        </w:rPr>
      </w:pPr>
      <w:bookmarkStart w:id="91" w:name="_Ref242797632"/>
      <w:r w:rsidRPr="00B24801">
        <w:rPr>
          <w:rFonts w:cs="Times New Roman"/>
        </w:rPr>
        <w:t>Une interprétation large du terme « ouvrage », qui englobe toutes les activités liées à un ouvrage, comporte un risque évident : elle attribuerait à tort au pouvoir déclaratoire « une teneur qui viderait de son essence une compétence provinciale », notamment en matière de relations de travail (</w:t>
      </w:r>
      <w:r w:rsidRPr="00B24801">
        <w:rPr>
          <w:rFonts w:cs="Times New Roman"/>
          <w:i/>
          <w:iCs/>
        </w:rPr>
        <w:t xml:space="preserve">Renvoi relatif à la Loi sur </w:t>
      </w:r>
      <w:r w:rsidRPr="00B24801">
        <w:rPr>
          <w:rFonts w:cs="Times New Roman"/>
          <w:i/>
          <w:iCs/>
        </w:rPr>
        <w:lastRenderedPageBreak/>
        <w:t>les valeurs mobilières</w:t>
      </w:r>
      <w:r w:rsidRPr="00B24801">
        <w:rPr>
          <w:rFonts w:cs="Times New Roman"/>
        </w:rPr>
        <w:t xml:space="preserve">, 2011 CSC 66, [2011] 3 R.C.S. 837, par. 71). La portée de la notion d’« ouvrage » doit donc être soigneusement délimitée afin </w:t>
      </w:r>
      <w:bookmarkEnd w:id="90"/>
      <w:r w:rsidRPr="00B24801">
        <w:rPr>
          <w:rFonts w:cs="Times New Roman"/>
        </w:rPr>
        <w:t>d’éviter le risque plus global de « rompre l’équilibre constitutionnel entre pouvoirs fédéraux et provinciaux » (</w:t>
      </w:r>
      <w:r w:rsidRPr="00B24801">
        <w:rPr>
          <w:rFonts w:cs="Times New Roman"/>
          <w:i/>
        </w:rPr>
        <w:t>Renvoi relatif à la Loi sur la procréation assistée</w:t>
      </w:r>
      <w:r w:rsidRPr="00B24801">
        <w:rPr>
          <w:rFonts w:cs="Times New Roman"/>
        </w:rPr>
        <w:t xml:space="preserve">, 2010 CSC 61, [2010] 3 R.C.S. 457, par. 43). Ainsi, le libellé limitatif du terme « ouvrage » sert de protection contre un recours sans restriction à l’al. 92(10)c). L’interprétation de l’al. 92(10)c) doit donner effet à cette limite intrinsèque pour veiller à ce que « les deux ordres de gouvernement </w:t>
      </w:r>
      <w:proofErr w:type="spellStart"/>
      <w:r w:rsidRPr="00B24801">
        <w:rPr>
          <w:rFonts w:cs="Times New Roman"/>
        </w:rPr>
        <w:t>so</w:t>
      </w:r>
      <w:proofErr w:type="spellEnd"/>
      <w:r w:rsidRPr="00B24801">
        <w:rPr>
          <w:rFonts w:cs="Times New Roman"/>
        </w:rPr>
        <w:t>[</w:t>
      </w:r>
      <w:proofErr w:type="spellStart"/>
      <w:r w:rsidRPr="00B24801">
        <w:rPr>
          <w:rFonts w:cs="Times New Roman"/>
        </w:rPr>
        <w:t>ient</w:t>
      </w:r>
      <w:proofErr w:type="spellEnd"/>
      <w:r w:rsidRPr="00B24801">
        <w:rPr>
          <w:rFonts w:cs="Times New Roman"/>
        </w:rPr>
        <w:t>] coordonnés, et non subordonnés » (</w:t>
      </w:r>
      <w:r w:rsidRPr="00B24801">
        <w:rPr>
          <w:rFonts w:cs="Times New Roman"/>
          <w:i/>
        </w:rPr>
        <w:t>Renvoi relatif à la Loi sur les valeurs mobilières</w:t>
      </w:r>
      <w:r w:rsidRPr="00B24801">
        <w:rPr>
          <w:rFonts w:cs="Times New Roman"/>
        </w:rPr>
        <w:t>, par. 71).</w:t>
      </w:r>
      <w:bookmarkEnd w:id="91"/>
    </w:p>
    <w:p w14:paraId="5E6A0D8E" w14:textId="77777777" w:rsidR="007B47A0" w:rsidRPr="00B24801" w:rsidRDefault="007B47A0" w:rsidP="007B47A0">
      <w:pPr>
        <w:pStyle w:val="Title2LevelTitre2Niveau"/>
        <w:numPr>
          <w:ilvl w:val="1"/>
          <w:numId w:val="21"/>
        </w:numPr>
        <w:jc w:val="both"/>
        <w:rPr>
          <w:rFonts w:cs="Times New Roman"/>
        </w:rPr>
      </w:pPr>
      <w:bookmarkStart w:id="92" w:name="_Toc231953050"/>
      <w:bookmarkStart w:id="93" w:name="_Toc232027333"/>
      <w:bookmarkStart w:id="94" w:name="_Toc232617606"/>
      <w:bookmarkStart w:id="95" w:name="_Toc233556355"/>
      <w:bookmarkStart w:id="96" w:name="_Toc233853039"/>
      <w:bookmarkStart w:id="97" w:name="_Toc233980578"/>
      <w:bookmarkStart w:id="98" w:name="_Toc242797531"/>
      <w:r w:rsidRPr="00B24801">
        <w:rPr>
          <w:rFonts w:cs="Times New Roman"/>
        </w:rPr>
        <w:t>La compétence fédérale en matière de relations de travail est une exception limitée à la présomption de compétence provinciale</w:t>
      </w:r>
      <w:bookmarkEnd w:id="92"/>
      <w:bookmarkEnd w:id="93"/>
      <w:bookmarkEnd w:id="94"/>
      <w:bookmarkEnd w:id="95"/>
      <w:bookmarkEnd w:id="96"/>
      <w:bookmarkEnd w:id="97"/>
      <w:bookmarkEnd w:id="98"/>
    </w:p>
    <w:p w14:paraId="2596DCE6" w14:textId="77777777" w:rsidR="007B47A0" w:rsidRPr="00B24801" w:rsidRDefault="007B47A0" w:rsidP="007B47A0">
      <w:pPr>
        <w:pStyle w:val="ParaNoNdepar-AltN"/>
        <w:rPr>
          <w:rFonts w:cs="Times New Roman"/>
        </w:rPr>
      </w:pPr>
      <w:bookmarkStart w:id="99" w:name="_Ref244763094"/>
      <w:bookmarkStart w:id="100" w:name="_Ref231953145"/>
      <w:r w:rsidRPr="00B24801">
        <w:rPr>
          <w:rFonts w:cs="Times New Roman"/>
        </w:rPr>
        <w:t>Dans l’arrêt</w:t>
      </w:r>
      <w:bookmarkStart w:id="101" w:name="_Hlk233276963"/>
      <w:r w:rsidRPr="00B24801">
        <w:rPr>
          <w:rFonts w:cs="Times New Roman"/>
        </w:rPr>
        <w:t xml:space="preserve"> </w:t>
      </w:r>
      <w:r w:rsidRPr="00B24801">
        <w:rPr>
          <w:rFonts w:cs="Times New Roman"/>
          <w:i/>
        </w:rPr>
        <w:t>Snider</w:t>
      </w:r>
      <w:r w:rsidRPr="00B24801">
        <w:rPr>
          <w:rFonts w:cs="Times New Roman"/>
        </w:rPr>
        <w:t xml:space="preserve">, </w:t>
      </w:r>
      <w:bookmarkEnd w:id="101"/>
      <w:r w:rsidRPr="00B24801">
        <w:rPr>
          <w:rFonts w:cs="Times New Roman"/>
        </w:rPr>
        <w:t xml:space="preserve">le Conseil privé a conclu que les relations de travail, quoique non expressément attribuées à l’un ou l’autre ordre de gouvernement, relevaient de la compétence provinciale au titre du par. 92(13) de la </w:t>
      </w:r>
      <w:r w:rsidRPr="00B24801">
        <w:rPr>
          <w:rFonts w:cs="Times New Roman"/>
          <w:i/>
        </w:rPr>
        <w:t>Loi constitutionnelle de 1867</w:t>
      </w:r>
      <w:r w:rsidRPr="00B24801">
        <w:rPr>
          <w:rFonts w:cs="Times New Roman"/>
        </w:rPr>
        <w:t xml:space="preserve"> (p. 9; voir aussi </w:t>
      </w:r>
      <w:r w:rsidRPr="00B24801">
        <w:rPr>
          <w:rFonts w:cs="Times New Roman"/>
          <w:i/>
        </w:rPr>
        <w:t>Construction Montcalm</w:t>
      </w:r>
      <w:r w:rsidRPr="00B24801">
        <w:rPr>
          <w:rFonts w:cs="Times New Roman"/>
        </w:rPr>
        <w:t xml:space="preserve">, p. 768; </w:t>
      </w:r>
      <w:r w:rsidRPr="00B24801">
        <w:rPr>
          <w:rFonts w:cs="Times New Roman"/>
          <w:i/>
        </w:rPr>
        <w:t>Bell Canada c. Québec (Commission de la santé et de la sécurité du travail)</w:t>
      </w:r>
      <w:r w:rsidRPr="00B24801">
        <w:rPr>
          <w:rFonts w:cs="Times New Roman"/>
        </w:rPr>
        <w:t xml:space="preserve">, [1988] 1 R.C.S. 749, p. 761). Le Conseil privé a déjà souligné l’importance de la compétence provinciale dans ce domaine pour permettre aux provinces </w:t>
      </w:r>
      <w:r w:rsidRPr="00B24801">
        <w:rPr>
          <w:rFonts w:cs="Times New Roman"/>
          <w:smallCaps/>
        </w:rPr>
        <w:t>[traduction]</w:t>
      </w:r>
      <w:r w:rsidRPr="00B24801">
        <w:rPr>
          <w:rFonts w:cs="Times New Roman"/>
        </w:rPr>
        <w:t xml:space="preserve"> « de conserver leur droit de légiférer elles-mêmes en fonction de conditions locales susceptibles de varier autant que peuvent le faire des régions éloignées l’une de l’autre par toute la distance séparant l’Atlantique du Pacifique » (</w:t>
      </w:r>
      <w:r w:rsidRPr="00B24801">
        <w:rPr>
          <w:rFonts w:cs="Times New Roman"/>
          <w:i/>
        </w:rPr>
        <w:t xml:space="preserve">Reference re Weekly Rest in </w:t>
      </w:r>
      <w:proofErr w:type="spellStart"/>
      <w:r w:rsidRPr="00B24801">
        <w:rPr>
          <w:rFonts w:cs="Times New Roman"/>
          <w:i/>
        </w:rPr>
        <w:t>Industrial</w:t>
      </w:r>
      <w:proofErr w:type="spellEnd"/>
      <w:r w:rsidRPr="00B24801">
        <w:rPr>
          <w:rFonts w:cs="Times New Roman"/>
          <w:i/>
        </w:rPr>
        <w:t xml:space="preserve"> </w:t>
      </w:r>
      <w:proofErr w:type="spellStart"/>
      <w:r w:rsidRPr="00B24801">
        <w:rPr>
          <w:rFonts w:cs="Times New Roman"/>
          <w:i/>
        </w:rPr>
        <w:t>Undertakings</w:t>
      </w:r>
      <w:proofErr w:type="spellEnd"/>
      <w:r w:rsidRPr="00B24801">
        <w:rPr>
          <w:rFonts w:cs="Times New Roman"/>
          <w:i/>
        </w:rPr>
        <w:t xml:space="preserve"> </w:t>
      </w:r>
      <w:proofErr w:type="spellStart"/>
      <w:r w:rsidRPr="00B24801">
        <w:rPr>
          <w:rFonts w:cs="Times New Roman"/>
          <w:i/>
        </w:rPr>
        <w:t>Act</w:t>
      </w:r>
      <w:proofErr w:type="spellEnd"/>
      <w:r w:rsidRPr="00B24801">
        <w:rPr>
          <w:rFonts w:cs="Times New Roman"/>
          <w:i/>
        </w:rPr>
        <w:t xml:space="preserve">, Minimum Wages </w:t>
      </w:r>
      <w:proofErr w:type="spellStart"/>
      <w:r w:rsidRPr="00B24801">
        <w:rPr>
          <w:rFonts w:cs="Times New Roman"/>
          <w:i/>
        </w:rPr>
        <w:t>Act</w:t>
      </w:r>
      <w:proofErr w:type="spellEnd"/>
      <w:r w:rsidRPr="00B24801">
        <w:rPr>
          <w:rFonts w:cs="Times New Roman"/>
          <w:i/>
        </w:rPr>
        <w:t xml:space="preserve"> and Limitation of </w:t>
      </w:r>
      <w:proofErr w:type="spellStart"/>
      <w:r w:rsidRPr="00B24801">
        <w:rPr>
          <w:rFonts w:cs="Times New Roman"/>
          <w:i/>
        </w:rPr>
        <w:t>Hours</w:t>
      </w:r>
      <w:proofErr w:type="spellEnd"/>
      <w:r w:rsidRPr="00B24801">
        <w:rPr>
          <w:rFonts w:cs="Times New Roman"/>
          <w:i/>
        </w:rPr>
        <w:t xml:space="preserve"> of Work </w:t>
      </w:r>
      <w:proofErr w:type="spellStart"/>
      <w:r w:rsidRPr="00B24801">
        <w:rPr>
          <w:rFonts w:cs="Times New Roman"/>
          <w:i/>
        </w:rPr>
        <w:t>Act</w:t>
      </w:r>
      <w:proofErr w:type="spellEnd"/>
      <w:r w:rsidRPr="00B24801">
        <w:rPr>
          <w:rFonts w:cs="Times New Roman"/>
        </w:rPr>
        <w:t xml:space="preserve">, [1937] 1 D.L.R. 673, p. </w:t>
      </w:r>
      <w:r w:rsidRPr="00B24801">
        <w:rPr>
          <w:rFonts w:cs="Times New Roman"/>
        </w:rPr>
        <w:lastRenderedPageBreak/>
        <w:t xml:space="preserve">682). Les tribunaux se sont régulièrement fondés sur l’arrêt </w:t>
      </w:r>
      <w:r w:rsidRPr="00B24801">
        <w:rPr>
          <w:rFonts w:cs="Times New Roman"/>
          <w:i/>
        </w:rPr>
        <w:t>Snider</w:t>
      </w:r>
      <w:r w:rsidRPr="00B24801">
        <w:rPr>
          <w:rFonts w:cs="Times New Roman"/>
        </w:rPr>
        <w:t xml:space="preserve"> pour conclure que les relations de travail se rapportent aux </w:t>
      </w:r>
      <w:r w:rsidRPr="00B24801">
        <w:rPr>
          <w:rFonts w:cs="Times New Roman"/>
          <w:smallCaps/>
        </w:rPr>
        <w:t>[traduction]</w:t>
      </w:r>
      <w:r w:rsidRPr="00B24801">
        <w:rPr>
          <w:rFonts w:cs="Times New Roman"/>
        </w:rPr>
        <w:t xml:space="preserve"> « contrats d’un commerce ou d’une entreprise en particulier » qui « ne sauraient [. . .] faire l’objet d’une mesure législative du Dominion qui soit incompatible avec les pouvoirs attribués aux provinces en matière de propriété et de droits civils » (p. 13; voir aussi </w:t>
      </w:r>
      <w:r w:rsidRPr="00B24801">
        <w:rPr>
          <w:rFonts w:cs="Times New Roman"/>
          <w:i/>
        </w:rPr>
        <w:t>Bell</w:t>
      </w:r>
      <w:r w:rsidRPr="00B24801">
        <w:rPr>
          <w:rFonts w:cs="Times New Roman"/>
        </w:rPr>
        <w:t xml:space="preserve">, p. 816; </w:t>
      </w:r>
      <w:r w:rsidRPr="00B24801">
        <w:rPr>
          <w:rFonts w:cs="Times New Roman"/>
          <w:i/>
        </w:rPr>
        <w:t>Agence Maritime Inc. c. Conseil canadien des relations ouvrières</w:t>
      </w:r>
      <w:r w:rsidRPr="00B24801">
        <w:rPr>
          <w:rFonts w:cs="Times New Roman"/>
        </w:rPr>
        <w:t xml:space="preserve">, [1969] R.C.S. 851, p. 860; R. P. Gagnon, </w:t>
      </w:r>
      <w:r w:rsidRPr="00B24801">
        <w:rPr>
          <w:rFonts w:cs="Times New Roman"/>
          <w:i/>
        </w:rPr>
        <w:t>Le droit du travail du Québec</w:t>
      </w:r>
      <w:r w:rsidRPr="00B24801">
        <w:rPr>
          <w:rFonts w:cs="Times New Roman"/>
        </w:rPr>
        <w:t xml:space="preserve"> (8</w:t>
      </w:r>
      <w:r w:rsidRPr="00B24801">
        <w:rPr>
          <w:rFonts w:cs="Times New Roman"/>
          <w:vertAlign w:val="superscript"/>
        </w:rPr>
        <w:t>e</w:t>
      </w:r>
      <w:r w:rsidRPr="00B24801">
        <w:rPr>
          <w:rFonts w:cs="Times New Roman"/>
        </w:rPr>
        <w:t xml:space="preserve"> éd. 2022), par. 3). Les tribunaux parlent souvent de cette règle comme d’une « présomption » de compétence provinciale (</w:t>
      </w:r>
      <w:r w:rsidRPr="00B24801">
        <w:rPr>
          <w:rFonts w:cs="Times New Roman"/>
          <w:i/>
        </w:rPr>
        <w:t>Ontario Hydro</w:t>
      </w:r>
      <w:r w:rsidRPr="00B24801">
        <w:rPr>
          <w:rFonts w:cs="Times New Roman"/>
        </w:rPr>
        <w:t xml:space="preserve">, p. 417; </w:t>
      </w:r>
      <w:r w:rsidRPr="00B24801">
        <w:rPr>
          <w:rFonts w:cs="Times New Roman"/>
          <w:i/>
        </w:rPr>
        <w:t xml:space="preserve">NIL/TU,O Child and Family Services Society c. B.C. </w:t>
      </w:r>
      <w:proofErr w:type="spellStart"/>
      <w:r w:rsidRPr="00B24801">
        <w:rPr>
          <w:rFonts w:cs="Times New Roman"/>
          <w:i/>
        </w:rPr>
        <w:t>Government</w:t>
      </w:r>
      <w:proofErr w:type="spellEnd"/>
      <w:r w:rsidRPr="00B24801">
        <w:rPr>
          <w:rFonts w:cs="Times New Roman"/>
          <w:i/>
        </w:rPr>
        <w:t xml:space="preserve"> and Service </w:t>
      </w:r>
      <w:proofErr w:type="spellStart"/>
      <w:r w:rsidRPr="00B24801">
        <w:rPr>
          <w:rFonts w:cs="Times New Roman"/>
          <w:i/>
        </w:rPr>
        <w:t>Employees</w:t>
      </w:r>
      <w:proofErr w:type="spellEnd"/>
      <w:r w:rsidRPr="00B24801">
        <w:rPr>
          <w:rFonts w:cs="Times New Roman"/>
          <w:i/>
        </w:rPr>
        <w:t>’ Union</w:t>
      </w:r>
      <w:r w:rsidRPr="00B24801">
        <w:rPr>
          <w:rFonts w:cs="Times New Roman"/>
        </w:rPr>
        <w:t xml:space="preserve">, 2010 CSC 45, [2010] 2 R.C.S. 696, par. 11; </w:t>
      </w:r>
      <w:r w:rsidRPr="00B24801">
        <w:rPr>
          <w:rFonts w:cs="Times New Roman"/>
          <w:i/>
        </w:rPr>
        <w:t>Tessier</w:t>
      </w:r>
      <w:r w:rsidRPr="00B24801">
        <w:rPr>
          <w:rFonts w:cs="Times New Roman"/>
        </w:rPr>
        <w:t xml:space="preserve">, par. 12). Les relations individuelles entre employeur et employé sont généralement établies et définies par contrat et, à ce titre, elles relèvent de la compétence provinciale en matière de propriété et de droits civils en vertu du par. 92(13) de la </w:t>
      </w:r>
      <w:r w:rsidRPr="00B24801">
        <w:rPr>
          <w:rFonts w:cs="Times New Roman"/>
          <w:i/>
        </w:rPr>
        <w:t>Loi constitutionnelle de 1867</w:t>
      </w:r>
      <w:r w:rsidRPr="00B24801">
        <w:rPr>
          <w:rFonts w:cs="Times New Roman"/>
        </w:rPr>
        <w:t xml:space="preserve">. Les relations collectives de travail sont également fondées sur un contrat, puisqu’une convention collective constitue un « contrat spécifique intervenant entre le syndicat et l’employeur » qui régit les conditions de travail (M. Coutu et autres, en collaboration avec F. Laporte-Murdock, </w:t>
      </w:r>
      <w:r w:rsidRPr="00B24801">
        <w:rPr>
          <w:rFonts w:cs="Times New Roman"/>
          <w:i/>
        </w:rPr>
        <w:t>Droits des rapports collectifs du travail au Québec</w:t>
      </w:r>
      <w:r w:rsidRPr="00B24801">
        <w:rPr>
          <w:rFonts w:cs="Times New Roman"/>
        </w:rPr>
        <w:t xml:space="preserve"> (3</w:t>
      </w:r>
      <w:r w:rsidRPr="00B24801">
        <w:rPr>
          <w:rFonts w:cs="Times New Roman"/>
          <w:vertAlign w:val="superscript"/>
        </w:rPr>
        <w:t>e</w:t>
      </w:r>
      <w:r w:rsidRPr="00B24801">
        <w:rPr>
          <w:rFonts w:cs="Times New Roman"/>
        </w:rPr>
        <w:t xml:space="preserve"> éd. 2019), vol. 1, </w:t>
      </w:r>
      <w:r w:rsidRPr="00B24801">
        <w:rPr>
          <w:rFonts w:cs="Times New Roman"/>
          <w:i/>
        </w:rPr>
        <w:t>Le régime général</w:t>
      </w:r>
      <w:r w:rsidRPr="00B24801">
        <w:rPr>
          <w:rFonts w:cs="Times New Roman"/>
        </w:rPr>
        <w:t>,</w:t>
      </w:r>
      <w:r w:rsidRPr="00B24801">
        <w:rPr>
          <w:rFonts w:cs="Times New Roman"/>
          <w:i/>
        </w:rPr>
        <w:t xml:space="preserve"> </w:t>
      </w:r>
      <w:r w:rsidRPr="00B24801">
        <w:rPr>
          <w:rFonts w:cs="Times New Roman"/>
        </w:rPr>
        <w:t>p. 766).</w:t>
      </w:r>
      <w:bookmarkEnd w:id="99"/>
    </w:p>
    <w:p w14:paraId="27A53501" w14:textId="77777777" w:rsidR="007B47A0" w:rsidRPr="00B24801" w:rsidRDefault="007B47A0" w:rsidP="007B47A0">
      <w:pPr>
        <w:pStyle w:val="ParaNoNdepar-AltN"/>
        <w:rPr>
          <w:rFonts w:cs="Times New Roman"/>
        </w:rPr>
      </w:pPr>
      <w:r w:rsidRPr="00B24801">
        <w:rPr>
          <w:rFonts w:cs="Times New Roman"/>
        </w:rPr>
        <w:t xml:space="preserve">Le Parlement exerce toutefois un pouvoir sur les relations de travail en tant que « compétence secondaire, liée aux champs de compétence attribués au fédéral » en vertu de l’art. 91 de la </w:t>
      </w:r>
      <w:r w:rsidRPr="00B24801">
        <w:rPr>
          <w:rFonts w:cs="Times New Roman"/>
          <w:i/>
        </w:rPr>
        <w:t>Loi constitutionnelle de 1867</w:t>
      </w:r>
      <w:r w:rsidRPr="00B24801">
        <w:rPr>
          <w:rFonts w:cs="Times New Roman"/>
        </w:rPr>
        <w:t xml:space="preserve"> (Coutu et autres, p. 62). Alors que </w:t>
      </w:r>
      <w:r w:rsidRPr="00B24801">
        <w:rPr>
          <w:rFonts w:cs="Times New Roman"/>
        </w:rPr>
        <w:lastRenderedPageBreak/>
        <w:t xml:space="preserve">la compétence provinciale en matière de relations de travail découle directement du pouvoir prévu par la Constitution sur la propriété et les droits civils, la compétence fédérale n’existe que dans la mesure où la réglementation des relations de travail est </w:t>
      </w:r>
      <w:r w:rsidRPr="00B24801">
        <w:rPr>
          <w:rFonts w:cs="Times New Roman"/>
          <w:smallCaps/>
        </w:rPr>
        <w:t>[traduction]</w:t>
      </w:r>
      <w:r w:rsidRPr="00B24801">
        <w:rPr>
          <w:rFonts w:cs="Times New Roman"/>
        </w:rPr>
        <w:t xml:space="preserve"> « nécessairement accessoire » à une compétence fédérale, notamment au pouvoir déclaratoire (</w:t>
      </w:r>
      <w:r w:rsidRPr="00B24801">
        <w:rPr>
          <w:rFonts w:cs="Times New Roman"/>
          <w:i/>
        </w:rPr>
        <w:t>Renvoi relatif aux débardeurs</w:t>
      </w:r>
      <w:r w:rsidRPr="00B24801">
        <w:rPr>
          <w:rFonts w:cs="Times New Roman"/>
        </w:rPr>
        <w:t xml:space="preserve">, p. 564). </w:t>
      </w:r>
      <w:bookmarkStart w:id="102" w:name="_Ref233853128"/>
      <w:r w:rsidRPr="00B24801">
        <w:rPr>
          <w:rFonts w:cs="Times New Roman"/>
        </w:rPr>
        <w:t>La compétence fédérale n’intervient donc qu’à titre d’exception, et « les provinces ont une compétence exclusive » dans le domaine des relations de travail (</w:t>
      </w:r>
      <w:r w:rsidRPr="00B24801">
        <w:rPr>
          <w:rFonts w:cs="Times New Roman"/>
          <w:i/>
        </w:rPr>
        <w:t>Construction Montcalm</w:t>
      </w:r>
      <w:r w:rsidRPr="00B24801">
        <w:rPr>
          <w:rFonts w:cs="Times New Roman"/>
        </w:rPr>
        <w:t xml:space="preserve">, p. 768; voir aussi, p. ex., </w:t>
      </w:r>
      <w:proofErr w:type="spellStart"/>
      <w:r w:rsidRPr="00B24801">
        <w:rPr>
          <w:rFonts w:cs="Times New Roman"/>
          <w:i/>
        </w:rPr>
        <w:t>Northern</w:t>
      </w:r>
      <w:proofErr w:type="spellEnd"/>
      <w:r w:rsidRPr="00B24801">
        <w:rPr>
          <w:rFonts w:cs="Times New Roman"/>
          <w:i/>
        </w:rPr>
        <w:t xml:space="preserve"> Telecom Ltée c. Travailleurs en communication du Canada</w:t>
      </w:r>
      <w:r w:rsidRPr="00B24801">
        <w:rPr>
          <w:rFonts w:cs="Times New Roman"/>
        </w:rPr>
        <w:t>, [1980] 1 R.C.S. 115, p. 132).</w:t>
      </w:r>
      <w:bookmarkEnd w:id="102"/>
      <w:r w:rsidRPr="00B24801">
        <w:rPr>
          <w:rFonts w:cs="Times New Roman"/>
        </w:rPr>
        <w:t xml:space="preserve"> Autrement dit, le Parlement n’exerce pas de compétence indépendante ou absolue en matière de relations de travail. </w:t>
      </w:r>
    </w:p>
    <w:p w14:paraId="07EF2BDA" w14:textId="77777777" w:rsidR="007B47A0" w:rsidRPr="00B24801" w:rsidRDefault="007B47A0" w:rsidP="007B47A0">
      <w:pPr>
        <w:pStyle w:val="ParaNoNdepar-AltN"/>
        <w:rPr>
          <w:rFonts w:cs="Times New Roman"/>
        </w:rPr>
      </w:pPr>
      <w:r w:rsidRPr="00B24801">
        <w:rPr>
          <w:rFonts w:cs="Times New Roman"/>
        </w:rPr>
        <w:t xml:space="preserve">La compétence fédérale en matière de relations de travail existe en tant qu’accessoire d’une vaste gamme de pouvoirs fédéraux, comme le service postal (par. 91(5)), les banques (par. 91(15)) et les pêcheries (par. 91(12)) (voir, p. ex., </w:t>
      </w:r>
      <w:r w:rsidRPr="00B24801">
        <w:rPr>
          <w:rFonts w:cs="Times New Roman"/>
          <w:i/>
        </w:rPr>
        <w:t>Union des facteurs du Canada c. Syndicat des postiers du Canada</w:t>
      </w:r>
      <w:r w:rsidRPr="00B24801">
        <w:rPr>
          <w:rFonts w:cs="Times New Roman"/>
        </w:rPr>
        <w:t xml:space="preserve">, [1975] 1 R.C.S. 178; </w:t>
      </w:r>
      <w:r w:rsidRPr="00B24801">
        <w:rPr>
          <w:rFonts w:cs="Times New Roman"/>
          <w:i/>
        </w:rPr>
        <w:t xml:space="preserve">Kitimat, Terrace and District General </w:t>
      </w:r>
      <w:proofErr w:type="spellStart"/>
      <w:r w:rsidRPr="00B24801">
        <w:rPr>
          <w:rFonts w:cs="Times New Roman"/>
          <w:i/>
        </w:rPr>
        <w:t>Workers</w:t>
      </w:r>
      <w:proofErr w:type="spellEnd"/>
      <w:r w:rsidRPr="00B24801">
        <w:rPr>
          <w:rFonts w:cs="Times New Roman"/>
          <w:i/>
        </w:rPr>
        <w:t>’ Union, Local 1583 c. Bank of Nova Scotia</w:t>
      </w:r>
      <w:r w:rsidRPr="00B24801">
        <w:rPr>
          <w:rFonts w:cs="Times New Roman"/>
        </w:rPr>
        <w:t xml:space="preserve"> (1959), 59 C.L.L.C. 18,152; </w:t>
      </w:r>
      <w:r w:rsidRPr="00B24801">
        <w:rPr>
          <w:rFonts w:cs="Times New Roman"/>
          <w:i/>
        </w:rPr>
        <w:t xml:space="preserve">Winsor c. </w:t>
      </w:r>
      <w:proofErr w:type="spellStart"/>
      <w:r w:rsidRPr="00B24801">
        <w:rPr>
          <w:rFonts w:cs="Times New Roman"/>
          <w:i/>
        </w:rPr>
        <w:t>Scotian</w:t>
      </w:r>
      <w:proofErr w:type="spellEnd"/>
      <w:r w:rsidRPr="00B24801">
        <w:rPr>
          <w:rFonts w:cs="Times New Roman"/>
          <w:i/>
        </w:rPr>
        <w:t xml:space="preserve"> Shelf Traders Limited</w:t>
      </w:r>
      <w:r w:rsidRPr="00B24801">
        <w:rPr>
          <w:rFonts w:cs="Times New Roman"/>
        </w:rPr>
        <w:t xml:space="preserve"> (1983), 83 C.L.L.C. 16,070). Dans l’arrêt </w:t>
      </w:r>
      <w:r w:rsidRPr="00B24801">
        <w:rPr>
          <w:rFonts w:cs="Times New Roman"/>
          <w:i/>
        </w:rPr>
        <w:t>Construction Montcalm</w:t>
      </w:r>
      <w:r w:rsidRPr="00B24801">
        <w:rPr>
          <w:rFonts w:cs="Times New Roman"/>
        </w:rPr>
        <w:t xml:space="preserve">, la Cour s’est penchée sur la question de savoir si la compétence du Parlement en matière aéronautique, fondée sur le pouvoir résiduel de légiférer pour la paix, l’ordre et le bon gouvernement du Canada (« P.O.B.G. ») que lui confère l’art. 91, s’étendait aux relations de travail d’une société de construction chargée de construire des pistes d’atterrissage à un aéroport international. Bien qu’elle ait rejeté la revendication de compétence fédérale au vu des </w:t>
      </w:r>
      <w:r w:rsidRPr="00B24801">
        <w:rPr>
          <w:rFonts w:cs="Times New Roman"/>
        </w:rPr>
        <w:lastRenderedPageBreak/>
        <w:t xml:space="preserve">faits de l’affaire, la Cour n’a pas écarté la possibilité que les relations de travail puissent, dans certaines circonstances, faire « partie intégrante » de la compétence principale du Parlement sur une matière relevant de son pouvoir P.O.B.G. (p. 770). Des arrêts subséquents, dont </w:t>
      </w:r>
      <w:r w:rsidRPr="00B24801">
        <w:rPr>
          <w:rFonts w:cs="Times New Roman"/>
          <w:i/>
        </w:rPr>
        <w:t>Ontario Hydro</w:t>
      </w:r>
      <w:r w:rsidRPr="00B24801">
        <w:rPr>
          <w:rFonts w:cs="Times New Roman"/>
        </w:rPr>
        <w:t xml:space="preserve">, ont confirmé que le pouvoir accessoire du Parlement en matière de relations de travail constitue un fondement reconnu par les tribunaux pour étendre la portée de son pouvoir résiduel en matière de P.O.B.G. (p. 351; voir aussi </w:t>
      </w:r>
      <w:r w:rsidRPr="00B24801">
        <w:rPr>
          <w:rFonts w:cs="Times New Roman"/>
          <w:i/>
        </w:rPr>
        <w:t xml:space="preserve">Kelowna (City) c. British Columbia (Labour Relations </w:t>
      </w:r>
      <w:proofErr w:type="spellStart"/>
      <w:r w:rsidRPr="00B24801">
        <w:rPr>
          <w:rFonts w:cs="Times New Roman"/>
          <w:i/>
        </w:rPr>
        <w:t>Board</w:t>
      </w:r>
      <w:proofErr w:type="spellEnd"/>
      <w:r w:rsidRPr="00B24801">
        <w:rPr>
          <w:rFonts w:cs="Times New Roman"/>
          <w:i/>
        </w:rPr>
        <w:t>)</w:t>
      </w:r>
      <w:r w:rsidRPr="00B24801">
        <w:rPr>
          <w:rFonts w:cs="Times New Roman"/>
        </w:rPr>
        <w:t xml:space="preserve"> (1974), 42 D.L.R. (3d) 754). L’étendue potentielle de ce pouvoir exige donc un examen attentif.</w:t>
      </w:r>
    </w:p>
    <w:p w14:paraId="7D71FE6B" w14:textId="77777777" w:rsidR="007B47A0" w:rsidRPr="00B24801" w:rsidRDefault="007B47A0" w:rsidP="007B47A0">
      <w:pPr>
        <w:pStyle w:val="ParaNoNdepar-AltN"/>
        <w:rPr>
          <w:rFonts w:cs="Times New Roman"/>
        </w:rPr>
      </w:pPr>
      <w:r w:rsidRPr="00B24801">
        <w:rPr>
          <w:rFonts w:cs="Times New Roman"/>
        </w:rPr>
        <w:t>Le Parlement peut valablement exercer sa compétence en matière de relations de travail au moyen d’une compétence soit directe, soit dérivée — une manière raisonnée de déterminer les circonstances particulières dans lesquelles l’exception relative à la compétence fédérale prend naissance. Cependant, le pouvoir déclaratoire fédéral doit être exercé avec circonspection, et cibler des ouvrages précis plutôt qu’une vaste matière. La compétence sur les relations de travail qui découle accessoirement de cet ouvrage déclaré risque d’élargir indûment l’emprise du Parlement si l’on applique le critère d’analyse relatif à la compétence directe et à la compétence dérivée en omettant de tenir compte de la logique sous-jacente de ce pouvoir exceptionnel prévu par la Constitution.</w:t>
      </w:r>
    </w:p>
    <w:p w14:paraId="193A3FDE" w14:textId="77777777" w:rsidR="007B47A0" w:rsidRPr="00B24801" w:rsidRDefault="007B47A0" w:rsidP="007B47A0">
      <w:pPr>
        <w:pStyle w:val="ParaNoNdepar-AltN"/>
        <w:rPr>
          <w:rFonts w:cs="Times New Roman"/>
        </w:rPr>
      </w:pPr>
      <w:r w:rsidRPr="00B24801">
        <w:rPr>
          <w:rFonts w:cs="Times New Roman"/>
        </w:rPr>
        <w:t xml:space="preserve">En dehors des cadres de la compétence directe et de la compétence dérivée, il n’existe aucun autre fondement susceptible de justifier l’exercice d’une compétence fédérale en matière de relations de travail. Dans l’arrêt </w:t>
      </w:r>
      <w:r w:rsidRPr="00B24801">
        <w:rPr>
          <w:rFonts w:cs="Times New Roman"/>
          <w:i/>
        </w:rPr>
        <w:t>Snider</w:t>
      </w:r>
      <w:r w:rsidRPr="00B24801">
        <w:rPr>
          <w:rFonts w:cs="Times New Roman"/>
        </w:rPr>
        <w:t xml:space="preserve">, le vicomte Haldane, bien </w:t>
      </w:r>
      <w:r w:rsidRPr="00B24801">
        <w:rPr>
          <w:rFonts w:cs="Times New Roman"/>
        </w:rPr>
        <w:lastRenderedPageBreak/>
        <w:t xml:space="preserve">qu’ayant concédé que </w:t>
      </w:r>
      <w:r w:rsidRPr="00B24801">
        <w:rPr>
          <w:rFonts w:cs="Times New Roman"/>
          <w:smallCaps/>
        </w:rPr>
        <w:t>[traduction]</w:t>
      </w:r>
      <w:r w:rsidRPr="00B24801">
        <w:rPr>
          <w:rFonts w:cs="Times New Roman"/>
        </w:rPr>
        <w:t xml:space="preserve"> « les grèves pourraient s’étendre à d’autres commerces, compte tenu des méthodes très organisées de la main-d’œuvre moderne », a expressément rejeté l’idée voulant que l’« importance nationale » puisse constituer un fondement suffisant pour justifier l’adoption d’une loi fédérale sur les relations de travail (p. 17-18). Conclure autrement « changerait [. . .] [le] fait que la diversité en matière de compétence était considérée comme la voie vers le développement économique de la nation » au moment de la Confédération (</w:t>
      </w:r>
      <w:proofErr w:type="spellStart"/>
      <w:r w:rsidRPr="00B24801">
        <w:rPr>
          <w:rFonts w:cs="Times New Roman"/>
          <w:i/>
        </w:rPr>
        <w:t>Consolidated</w:t>
      </w:r>
      <w:proofErr w:type="spellEnd"/>
      <w:r w:rsidRPr="00B24801">
        <w:rPr>
          <w:rFonts w:cs="Times New Roman"/>
          <w:i/>
        </w:rPr>
        <w:t xml:space="preserve"> </w:t>
      </w:r>
      <w:proofErr w:type="spellStart"/>
      <w:r w:rsidRPr="00B24801">
        <w:rPr>
          <w:rFonts w:cs="Times New Roman"/>
          <w:i/>
        </w:rPr>
        <w:t>Fastfrate</w:t>
      </w:r>
      <w:proofErr w:type="spellEnd"/>
      <w:r w:rsidRPr="00B24801">
        <w:rPr>
          <w:rFonts w:cs="Times New Roman"/>
          <w:i/>
        </w:rPr>
        <w:t xml:space="preserve"> Inc.</w:t>
      </w:r>
      <w:r w:rsidRPr="00B24801">
        <w:rPr>
          <w:rFonts w:cs="Times New Roman"/>
        </w:rPr>
        <w:t xml:space="preserve">, par. 39). En l’espèce, bien que le Parlement ait exercé son pouvoir déclaratoire sur les silos à grains puisqu’ils sont à « l’avantage général » du Canada, cette raison ne justifie pas, en soi, l’élargissement de la compétence fédérale en matière de relations de travail à toutes les entreprises provinciales qui apportent leur contribution aux silos en tant qu’ouvrages déclarés. Le Parlement peut déclarer qu’un ouvrage est à l’avantage général du Canada, mais les lois provinciales d’application générale peuvent tout de même s’appliquer à cet ouvrage par l’entremise des entreprises qui y sont associées. Comme l’a conclu le Conseil privé dans l’une des premières décisions concernant le pouvoir déclaratoire, </w:t>
      </w:r>
      <w:r w:rsidRPr="00B24801">
        <w:rPr>
          <w:rFonts w:cs="Times New Roman"/>
          <w:smallCaps/>
        </w:rPr>
        <w:t>[traduction]</w:t>
      </w:r>
      <w:r w:rsidRPr="00B24801">
        <w:rPr>
          <w:rFonts w:cs="Times New Roman"/>
        </w:rPr>
        <w:t xml:space="preserve"> « on ne saurait présumer que l’un ou l’autre des deux ordres de gouvernement refusera de collaborer raisonnablement avec l’autre à la réalisation d’un objectif qui est autant dans l’intérêt de chacun » (</w:t>
      </w:r>
      <w:proofErr w:type="spellStart"/>
      <w:r w:rsidRPr="00B24801">
        <w:rPr>
          <w:rFonts w:cs="Times New Roman"/>
          <w:i/>
        </w:rPr>
        <w:t>Montreal</w:t>
      </w:r>
      <w:proofErr w:type="spellEnd"/>
      <w:r w:rsidRPr="00B24801">
        <w:rPr>
          <w:rFonts w:cs="Times New Roman"/>
          <w:i/>
        </w:rPr>
        <w:t xml:space="preserve"> Street Railway</w:t>
      </w:r>
      <w:r w:rsidRPr="00B24801">
        <w:rPr>
          <w:rFonts w:cs="Times New Roman"/>
        </w:rPr>
        <w:t>, p. 346).</w:t>
      </w:r>
    </w:p>
    <w:p w14:paraId="6AB0D7D3" w14:textId="77777777" w:rsidR="007B47A0" w:rsidRPr="00B24801" w:rsidRDefault="007B47A0" w:rsidP="007B47A0">
      <w:pPr>
        <w:pStyle w:val="ParaNoNdepar-AltN"/>
        <w:rPr>
          <w:rFonts w:cs="Times New Roman"/>
        </w:rPr>
      </w:pPr>
      <w:bookmarkStart w:id="103" w:name="_Ref242797647"/>
      <w:r w:rsidRPr="00B24801">
        <w:rPr>
          <w:rFonts w:cs="Times New Roman"/>
        </w:rPr>
        <w:t>Notre Cour a depuis adopté une « vision plus souple du fédéralisme qui permet le chevauchement des compétences » (</w:t>
      </w:r>
      <w:r w:rsidRPr="00B24801">
        <w:rPr>
          <w:rFonts w:cs="Times New Roman"/>
          <w:i/>
          <w:iCs/>
        </w:rPr>
        <w:t>Renvoi relatif à la Loi sur les valeurs mobilières</w:t>
      </w:r>
      <w:r w:rsidRPr="00B24801">
        <w:rPr>
          <w:rFonts w:cs="Times New Roman"/>
        </w:rPr>
        <w:t>, par. 57), et qui repose sur [</w:t>
      </w:r>
      <w:r w:rsidRPr="00B24801">
        <w:rPr>
          <w:rFonts w:cs="Times New Roman"/>
          <w:smallCaps/>
        </w:rPr>
        <w:t>traduction</w:t>
      </w:r>
      <w:r w:rsidRPr="00B24801">
        <w:rPr>
          <w:rFonts w:cs="Times New Roman"/>
        </w:rPr>
        <w:t xml:space="preserve">] « l’élaboration coordonnée de </w:t>
      </w:r>
      <w:r w:rsidRPr="00B24801">
        <w:rPr>
          <w:rFonts w:cs="Times New Roman"/>
        </w:rPr>
        <w:lastRenderedPageBreak/>
        <w:t xml:space="preserve">politiques par les pouvoirs exécutifs du pays » (J. Poirier, « The 2018 Pan-Canadian Securities </w:t>
      </w:r>
      <w:proofErr w:type="spellStart"/>
      <w:r w:rsidRPr="00B24801">
        <w:rPr>
          <w:rFonts w:cs="Times New Roman"/>
        </w:rPr>
        <w:t>Regulation</w:t>
      </w:r>
      <w:proofErr w:type="spellEnd"/>
      <w:r w:rsidRPr="00B24801">
        <w:rPr>
          <w:rFonts w:cs="Times New Roman"/>
        </w:rPr>
        <w:t xml:space="preserve"> Reference : </w:t>
      </w:r>
      <w:proofErr w:type="spellStart"/>
      <w:r w:rsidRPr="00B24801">
        <w:rPr>
          <w:rFonts w:cs="Times New Roman"/>
        </w:rPr>
        <w:t>Dualist</w:t>
      </w:r>
      <w:proofErr w:type="spellEnd"/>
      <w:r w:rsidRPr="00B24801">
        <w:rPr>
          <w:rFonts w:cs="Times New Roman"/>
        </w:rPr>
        <w:t xml:space="preserve"> </w:t>
      </w:r>
      <w:proofErr w:type="spellStart"/>
      <w:r w:rsidRPr="00B24801">
        <w:rPr>
          <w:rFonts w:cs="Times New Roman"/>
        </w:rPr>
        <w:t>Federalism</w:t>
      </w:r>
      <w:proofErr w:type="spellEnd"/>
      <w:r w:rsidRPr="00B24801">
        <w:rPr>
          <w:rFonts w:cs="Times New Roman"/>
        </w:rPr>
        <w:t xml:space="preserve"> to the Rescue of </w:t>
      </w:r>
      <w:proofErr w:type="spellStart"/>
      <w:r w:rsidRPr="00B24801">
        <w:rPr>
          <w:rFonts w:cs="Times New Roman"/>
        </w:rPr>
        <w:t>Cooperative</w:t>
      </w:r>
      <w:proofErr w:type="spellEnd"/>
      <w:r w:rsidRPr="00B24801">
        <w:rPr>
          <w:rFonts w:cs="Times New Roman"/>
        </w:rPr>
        <w:t xml:space="preserve"> </w:t>
      </w:r>
      <w:proofErr w:type="spellStart"/>
      <w:r w:rsidRPr="00B24801">
        <w:rPr>
          <w:rFonts w:cs="Times New Roman"/>
        </w:rPr>
        <w:t>Federalism</w:t>
      </w:r>
      <w:proofErr w:type="spellEnd"/>
      <w:r w:rsidRPr="00B24801">
        <w:rPr>
          <w:rFonts w:cs="Times New Roman"/>
        </w:rPr>
        <w:t xml:space="preserve"> » (2020), 94 </w:t>
      </w:r>
      <w:r w:rsidRPr="00B24801">
        <w:rPr>
          <w:rFonts w:cs="Times New Roman"/>
          <w:i/>
        </w:rPr>
        <w:t>S.C.L.R.</w:t>
      </w:r>
      <w:r w:rsidRPr="00B24801">
        <w:rPr>
          <w:rFonts w:cs="Times New Roman"/>
        </w:rPr>
        <w:t xml:space="preserve"> (2d) 85, p. 118). Les « difficultés pratiques » qu’entraîne la « division de la compétence législative sur les relations de travail » et les « conséquences pratiques » de l’attribution de cette matière à l’un ou à l’autre ordre de gouvernement ne doivent pas dicter le résultat de l’analyse constitutionnelle (</w:t>
      </w:r>
      <w:r w:rsidRPr="00B24801">
        <w:rPr>
          <w:rFonts w:cs="Times New Roman"/>
          <w:i/>
        </w:rPr>
        <w:t>Ontario Hydro</w:t>
      </w:r>
      <w:r w:rsidRPr="00B24801">
        <w:rPr>
          <w:rFonts w:cs="Times New Roman"/>
        </w:rPr>
        <w:t xml:space="preserve">, p. 358, le juge en chef Lamer, et p. 374, le juge La Forest; voir aussi </w:t>
      </w:r>
      <w:proofErr w:type="spellStart"/>
      <w:r w:rsidRPr="00B24801">
        <w:rPr>
          <w:rFonts w:cs="Times New Roman"/>
          <w:i/>
        </w:rPr>
        <w:t>Northern</w:t>
      </w:r>
      <w:proofErr w:type="spellEnd"/>
      <w:r w:rsidRPr="00B24801">
        <w:rPr>
          <w:rFonts w:cs="Times New Roman"/>
          <w:i/>
        </w:rPr>
        <w:t xml:space="preserve"> Telecom </w:t>
      </w:r>
      <w:r w:rsidRPr="00B24801">
        <w:rPr>
          <w:rFonts w:cs="Times New Roman"/>
        </w:rPr>
        <w:t>(1983), p. 760).</w:t>
      </w:r>
      <w:bookmarkEnd w:id="103"/>
    </w:p>
    <w:p w14:paraId="1D54B1FD" w14:textId="77777777" w:rsidR="007B47A0" w:rsidRPr="00B24801" w:rsidRDefault="007B47A0" w:rsidP="007B47A0">
      <w:pPr>
        <w:pStyle w:val="Title2LevelTitre2Niveau"/>
        <w:numPr>
          <w:ilvl w:val="1"/>
          <w:numId w:val="21"/>
        </w:numPr>
        <w:jc w:val="both"/>
        <w:rPr>
          <w:rFonts w:cs="Times New Roman"/>
          <w:i w:val="0"/>
        </w:rPr>
      </w:pPr>
      <w:bookmarkStart w:id="104" w:name="_Toc233556358"/>
      <w:bookmarkStart w:id="105" w:name="_Toc233556361"/>
      <w:bookmarkStart w:id="106" w:name="_Toc233556362"/>
      <w:bookmarkStart w:id="107" w:name="_Toc233556363"/>
      <w:bookmarkStart w:id="108" w:name="_Toc233556364"/>
      <w:bookmarkStart w:id="109" w:name="_Toc233556365"/>
      <w:bookmarkStart w:id="110" w:name="_Toc233556366"/>
      <w:bookmarkStart w:id="111" w:name="_Toc233556368"/>
      <w:bookmarkStart w:id="112" w:name="_Toc233556378"/>
      <w:bookmarkStart w:id="113" w:name="_Toc233556379"/>
      <w:bookmarkStart w:id="114" w:name="_Toc231953053"/>
      <w:bookmarkStart w:id="115" w:name="_Toc232027336"/>
      <w:bookmarkStart w:id="116" w:name="_Toc232617609"/>
      <w:bookmarkStart w:id="117" w:name="_Toc233556380"/>
      <w:bookmarkStart w:id="118" w:name="_Toc233853042"/>
      <w:bookmarkStart w:id="119" w:name="_Toc233980581"/>
      <w:bookmarkStart w:id="120" w:name="_Toc242797532"/>
      <w:bookmarkEnd w:id="100"/>
      <w:bookmarkEnd w:id="104"/>
      <w:bookmarkEnd w:id="105"/>
      <w:bookmarkEnd w:id="106"/>
      <w:bookmarkEnd w:id="107"/>
      <w:bookmarkEnd w:id="108"/>
      <w:bookmarkEnd w:id="109"/>
      <w:bookmarkEnd w:id="110"/>
      <w:bookmarkEnd w:id="111"/>
      <w:bookmarkEnd w:id="112"/>
      <w:bookmarkEnd w:id="113"/>
      <w:r w:rsidRPr="00B24801">
        <w:rPr>
          <w:rFonts w:cs="Times New Roman"/>
        </w:rPr>
        <w:t xml:space="preserve">L’applicabilité de la compétence directe aux </w:t>
      </w:r>
      <w:bookmarkEnd w:id="114"/>
      <w:bookmarkEnd w:id="115"/>
      <w:bookmarkEnd w:id="116"/>
      <w:bookmarkEnd w:id="117"/>
      <w:bookmarkEnd w:id="118"/>
      <w:bookmarkEnd w:id="119"/>
      <w:r w:rsidRPr="00B24801">
        <w:rPr>
          <w:rFonts w:cs="Times New Roman"/>
        </w:rPr>
        <w:t>ouvrages fédéraux</w:t>
      </w:r>
      <w:bookmarkEnd w:id="120"/>
      <w:r w:rsidRPr="00B24801">
        <w:rPr>
          <w:rFonts w:cs="Times New Roman"/>
        </w:rPr>
        <w:t xml:space="preserve"> </w:t>
      </w:r>
    </w:p>
    <w:p w14:paraId="553D05CF" w14:textId="77777777" w:rsidR="007B47A0" w:rsidRPr="00B24801" w:rsidRDefault="007B47A0" w:rsidP="007B47A0">
      <w:pPr>
        <w:pStyle w:val="ParaNoNdepar-AltN"/>
        <w:rPr>
          <w:rFonts w:cs="Times New Roman"/>
        </w:rPr>
      </w:pPr>
      <w:bookmarkStart w:id="121" w:name="_Ref233556450"/>
      <w:bookmarkStart w:id="122" w:name="_Ref231953162"/>
      <w:r w:rsidRPr="00B24801">
        <w:rPr>
          <w:rFonts w:cs="Times New Roman"/>
        </w:rPr>
        <w:t>La Cour d’appel a conclu que les relations de travail des inspecteurs de grains de SGS à sa succursale de Montréal relevaient de la compétence fédérale directe, étant donné que leurs services « sont fonctionnellement nécessaires et essentiels aux opérations des installations liées aux grains » (2024 QCCA 460, par. 95; voir aussi par. 84 et 96). L’appelant soutient que cette analyse « confond les deux approches [. . .] en introduisant dans le cadre d’analyse de la compétence directe un critère fondé sur l’intégration à une entreprise fédérale » — un facteur qui se rapporte uniquement à la compétence dérivée (</w:t>
      </w:r>
      <w:proofErr w:type="spellStart"/>
      <w:r w:rsidRPr="00B24801">
        <w:rPr>
          <w:rFonts w:cs="Times New Roman"/>
        </w:rPr>
        <w:t>m.a</w:t>
      </w:r>
      <w:proofErr w:type="spellEnd"/>
      <w:r w:rsidRPr="00B24801">
        <w:rPr>
          <w:rFonts w:cs="Times New Roman"/>
        </w:rPr>
        <w:t xml:space="preserve">., par. 41; voir aussi m. </w:t>
      </w:r>
      <w:proofErr w:type="spellStart"/>
      <w:r w:rsidRPr="00B24801">
        <w:rPr>
          <w:rFonts w:cs="Times New Roman"/>
        </w:rPr>
        <w:t>interv</w:t>
      </w:r>
      <w:proofErr w:type="spellEnd"/>
      <w:r w:rsidRPr="00B24801">
        <w:rPr>
          <w:rFonts w:cs="Times New Roman"/>
        </w:rPr>
        <w:t>., procureur général de l’Ontario, par. 29). Je partage son avis.</w:t>
      </w:r>
      <w:bookmarkEnd w:id="121"/>
    </w:p>
    <w:p w14:paraId="2114BA4E" w14:textId="77777777" w:rsidR="007B47A0" w:rsidRPr="00B24801" w:rsidRDefault="007B47A0" w:rsidP="007B47A0">
      <w:pPr>
        <w:pStyle w:val="ParaNoNdepar-AltN"/>
        <w:rPr>
          <w:rFonts w:cs="Times New Roman"/>
        </w:rPr>
      </w:pPr>
      <w:bookmarkStart w:id="123" w:name="_Ref242797653"/>
      <w:r w:rsidRPr="00B24801">
        <w:rPr>
          <w:rFonts w:cs="Times New Roman"/>
        </w:rPr>
        <w:t>La compétence directe et la compétence dérivée, « en dépit de leur connexité, sont distinctes l’une de l’autre » (</w:t>
      </w:r>
      <w:r w:rsidRPr="00B24801">
        <w:rPr>
          <w:rFonts w:cs="Times New Roman"/>
          <w:i/>
          <w:iCs/>
        </w:rPr>
        <w:t>Central Western</w:t>
      </w:r>
      <w:r w:rsidRPr="00B24801">
        <w:rPr>
          <w:rFonts w:cs="Times New Roman"/>
        </w:rPr>
        <w:t xml:space="preserve">, p. 1125; </w:t>
      </w:r>
      <w:r w:rsidRPr="00B24801">
        <w:rPr>
          <w:rFonts w:cs="Times New Roman"/>
          <w:i/>
          <w:iCs/>
        </w:rPr>
        <w:t>Tessier</w:t>
      </w:r>
      <w:r w:rsidRPr="00B24801">
        <w:rPr>
          <w:rFonts w:cs="Times New Roman"/>
        </w:rPr>
        <w:t xml:space="preserve">, par. 17). Elles représentent deux circonstances distinctes qui sont attributives de compétence </w:t>
      </w:r>
      <w:r w:rsidRPr="00B24801">
        <w:rPr>
          <w:rFonts w:cs="Times New Roman"/>
        </w:rPr>
        <w:lastRenderedPageBreak/>
        <w:t>fédérale, et constituent des exceptions restreintes à la compétence provinciale exclusive en matière de relations de travail. Les facteurs pertinents pour chacune des deux catégories de compétence reflètent des raisons constitutionnelles distinctes d’étendre la compétence fédérale aux relations de travail. Dans un cas comme dans l’autre, il incombe à la partie qui revendique la compétence fédérale de l’établir (</w:t>
      </w:r>
      <w:r w:rsidRPr="00B24801">
        <w:rPr>
          <w:rFonts w:cs="Times New Roman"/>
          <w:i/>
          <w:iCs/>
        </w:rPr>
        <w:t>Construction Montcalm</w:t>
      </w:r>
      <w:r w:rsidRPr="00B24801">
        <w:rPr>
          <w:rFonts w:cs="Times New Roman"/>
        </w:rPr>
        <w:t>, p. 775).</w:t>
      </w:r>
      <w:bookmarkEnd w:id="123"/>
    </w:p>
    <w:p w14:paraId="333C0F97" w14:textId="77777777" w:rsidR="007B47A0" w:rsidRPr="00B24801" w:rsidRDefault="007B47A0" w:rsidP="007B47A0">
      <w:pPr>
        <w:pStyle w:val="Title3LevelTitre3Niveau"/>
        <w:numPr>
          <w:ilvl w:val="2"/>
          <w:numId w:val="21"/>
        </w:numPr>
        <w:jc w:val="both"/>
        <w:rPr>
          <w:rFonts w:cs="Times New Roman"/>
        </w:rPr>
      </w:pPr>
      <w:bookmarkStart w:id="124" w:name="_Toc242797533"/>
      <w:bookmarkEnd w:id="122"/>
      <w:r w:rsidRPr="00B24801">
        <w:rPr>
          <w:rFonts w:cs="Times New Roman"/>
        </w:rPr>
        <w:t>Le Parlement exerce son pouvoir déclaratoire sur les travaux, et non sur les entreprises</w:t>
      </w:r>
      <w:bookmarkEnd w:id="124"/>
    </w:p>
    <w:p w14:paraId="222ED1C0" w14:textId="77777777" w:rsidR="007B47A0" w:rsidRPr="00B24801" w:rsidRDefault="007B47A0" w:rsidP="007B47A0">
      <w:pPr>
        <w:pStyle w:val="ParaNoNdepar-AltN"/>
        <w:rPr>
          <w:rFonts w:cs="Times New Roman"/>
        </w:rPr>
      </w:pPr>
      <w:bookmarkStart w:id="125" w:name="_Ref233980668"/>
      <w:bookmarkStart w:id="126" w:name="_Ref231953166"/>
      <w:r w:rsidRPr="00B24801">
        <w:rPr>
          <w:rFonts w:cs="Times New Roman"/>
        </w:rPr>
        <w:t xml:space="preserve">Au moment de comparer le texte de l’al. 92(10)c) à la mention des « travaux et entreprises » à l’al. 92(10)a), le Conseil privé a conclu que les deux expressions </w:t>
      </w:r>
      <w:r w:rsidRPr="00B24801">
        <w:rPr>
          <w:rFonts w:cs="Times New Roman"/>
          <w:smallCaps/>
        </w:rPr>
        <w:t>[traduction]</w:t>
      </w:r>
      <w:r w:rsidRPr="00B24801">
        <w:rPr>
          <w:rFonts w:cs="Times New Roman"/>
        </w:rPr>
        <w:t xml:space="preserve"> « doivent être interprétées de manière disjonctive » (</w:t>
      </w:r>
      <w:r w:rsidRPr="00B24801">
        <w:rPr>
          <w:rFonts w:cs="Times New Roman"/>
          <w:i/>
        </w:rPr>
        <w:t>Attorney General for Ontario c. Winner</w:t>
      </w:r>
      <w:r w:rsidRPr="00B24801">
        <w:rPr>
          <w:rFonts w:cs="Times New Roman"/>
        </w:rPr>
        <w:t>, [1954] 4 D.L.R. 657, p. 670). L’omission de l’expression « entreprises » à l’al. 92(10)c) vient restreindre la portée du pouvoir déclaratoire et, de ce fait, la compétence sur le domaine du travail qui y est liée, puisque « [l]a notion de travaux ou ouvrages [. . .] est beaucoup moins englobante que la notion d’“entreprise” » (Brun, Tremblay et Brouillet, par. VI-1.85; voir aussi Hanssen, p. 93 et 102; Schwartz, p. 10; McKercher, p. 6; MacDonald, p. 28).</w:t>
      </w:r>
      <w:bookmarkEnd w:id="125"/>
    </w:p>
    <w:p w14:paraId="79316792" w14:textId="77777777" w:rsidR="007B47A0" w:rsidRPr="00B24801" w:rsidRDefault="007B47A0" w:rsidP="007B47A0">
      <w:pPr>
        <w:pStyle w:val="ParaNoNdepar-AltN"/>
        <w:tabs>
          <w:tab w:val="clear" w:pos="1152"/>
          <w:tab w:val="left" w:pos="1166"/>
        </w:tabs>
        <w:rPr>
          <w:rFonts w:cs="Times New Roman"/>
        </w:rPr>
      </w:pPr>
      <w:r w:rsidRPr="00B24801">
        <w:rPr>
          <w:rFonts w:cs="Times New Roman"/>
        </w:rPr>
        <w:t>Les termes « travaux » (ou « ouvrages ») et « entreprises » sont distincts sur le plan conceptuel.</w:t>
      </w:r>
      <w:bookmarkEnd w:id="126"/>
      <w:r w:rsidRPr="00B24801">
        <w:rPr>
          <w:rFonts w:cs="Times New Roman"/>
        </w:rPr>
        <w:t xml:space="preserve"> Le terme « travaux » s’entend </w:t>
      </w:r>
      <w:r w:rsidRPr="00B24801">
        <w:rPr>
          <w:rFonts w:cs="Times New Roman"/>
          <w:smallCaps/>
        </w:rPr>
        <w:t>[traduction]</w:t>
      </w:r>
      <w:r w:rsidRPr="00B24801">
        <w:rPr>
          <w:rFonts w:cs="Times New Roman"/>
        </w:rPr>
        <w:t xml:space="preserve"> « de choses matérielles et non de services » (</w:t>
      </w:r>
      <w:proofErr w:type="spellStart"/>
      <w:r w:rsidRPr="00B24801">
        <w:rPr>
          <w:rFonts w:cs="Times New Roman"/>
          <w:i/>
          <w:iCs/>
        </w:rPr>
        <w:t>Montreal</w:t>
      </w:r>
      <w:proofErr w:type="spellEnd"/>
      <w:r w:rsidRPr="00B24801">
        <w:rPr>
          <w:rFonts w:cs="Times New Roman"/>
          <w:i/>
          <w:iCs/>
        </w:rPr>
        <w:t xml:space="preserve"> Street Railway</w:t>
      </w:r>
      <w:r w:rsidRPr="00B24801">
        <w:rPr>
          <w:rFonts w:cs="Times New Roman"/>
        </w:rPr>
        <w:t xml:space="preserve">, p. 342), et renvoie à </w:t>
      </w:r>
      <w:r w:rsidRPr="00B24801">
        <w:rPr>
          <w:rFonts w:cs="Times New Roman"/>
          <w:smallCaps/>
        </w:rPr>
        <w:t>[traduction]</w:t>
      </w:r>
      <w:r w:rsidRPr="00B24801">
        <w:rPr>
          <w:rFonts w:cs="Times New Roman"/>
        </w:rPr>
        <w:t xml:space="preserve"> « une notion d’immuabilité et de caractère défini » (</w:t>
      </w:r>
      <w:r w:rsidRPr="00B24801">
        <w:rPr>
          <w:rFonts w:cs="Times New Roman"/>
          <w:i/>
        </w:rPr>
        <w:t xml:space="preserve">Winner c. S.M.T. </w:t>
      </w:r>
      <w:r w:rsidRPr="00B24801">
        <w:rPr>
          <w:rFonts w:cs="Times New Roman"/>
          <w:i/>
        </w:rPr>
        <w:lastRenderedPageBreak/>
        <w:t>(Eastern) Ltd.</w:t>
      </w:r>
      <w:r w:rsidRPr="00B24801">
        <w:rPr>
          <w:rFonts w:cs="Times New Roman"/>
        </w:rPr>
        <w:t xml:space="preserve">, [1951] R.C.S. 887, p. 923). Une entreprise, à l’inverse, </w:t>
      </w:r>
      <w:r w:rsidRPr="00B24801">
        <w:rPr>
          <w:rFonts w:cs="Times New Roman"/>
          <w:smallCaps/>
        </w:rPr>
        <w:t>[traduction]</w:t>
      </w:r>
      <w:r w:rsidRPr="00B24801">
        <w:rPr>
          <w:rFonts w:cs="Times New Roman"/>
        </w:rPr>
        <w:t xml:space="preserve"> « n’est pas une chose matérielle, mais un arrangement en vertu duquel, bien entendu, des choses matérielles sont utilisées » (</w:t>
      </w:r>
      <w:r w:rsidRPr="00B24801">
        <w:rPr>
          <w:rFonts w:cs="Times New Roman"/>
          <w:i/>
        </w:rPr>
        <w:t xml:space="preserve">Re </w:t>
      </w:r>
      <w:proofErr w:type="spellStart"/>
      <w:r w:rsidRPr="00B24801">
        <w:rPr>
          <w:rFonts w:cs="Times New Roman"/>
          <w:i/>
        </w:rPr>
        <w:t>Regulation</w:t>
      </w:r>
      <w:proofErr w:type="spellEnd"/>
      <w:r w:rsidRPr="00B24801">
        <w:rPr>
          <w:rFonts w:cs="Times New Roman"/>
          <w:i/>
        </w:rPr>
        <w:t xml:space="preserve"> &amp; Control of Radio Communication</w:t>
      </w:r>
      <w:r w:rsidRPr="00B24801">
        <w:rPr>
          <w:rFonts w:cs="Times New Roman"/>
        </w:rPr>
        <w:t>, [1932] 2 D.L.R. 81 (C.P.), p. 86). Une entreprise, selon le juge Beetz, « consiste en un ensemble organisé suffisant des moyens qui permettent [. . .] la poursuite [. . .] d’activités précises », plutôt que d’être une simple « liste de fonctions » (</w:t>
      </w:r>
      <w:r w:rsidRPr="00B24801">
        <w:rPr>
          <w:rFonts w:cs="Times New Roman"/>
          <w:i/>
        </w:rPr>
        <w:t>U.E.S., Local 298 c. Bibeault</w:t>
      </w:r>
      <w:r w:rsidRPr="00B24801">
        <w:rPr>
          <w:rFonts w:cs="Times New Roman"/>
        </w:rPr>
        <w:t xml:space="preserve">, [1988] 2 R.C.S. 1048, p. 1105, </w:t>
      </w:r>
      <w:bookmarkStart w:id="127" w:name="_Hlk242432484"/>
      <w:r w:rsidRPr="00B24801">
        <w:rPr>
          <w:rFonts w:cs="Times New Roman"/>
        </w:rPr>
        <w:t xml:space="preserve">citant </w:t>
      </w:r>
      <w:r w:rsidRPr="00B24801">
        <w:rPr>
          <w:rFonts w:cs="Times New Roman"/>
          <w:i/>
        </w:rPr>
        <w:t>Mode Amazone c. Comité conjoint de Montréal de l’Union internationale des ouvriers du vêtement pour dames</w:t>
      </w:r>
      <w:r w:rsidRPr="00B24801">
        <w:rPr>
          <w:rFonts w:cs="Times New Roman"/>
        </w:rPr>
        <w:t>, [1983] T.T. 227</w:t>
      </w:r>
      <w:bookmarkEnd w:id="127"/>
      <w:r w:rsidRPr="00B24801">
        <w:rPr>
          <w:rFonts w:cs="Times New Roman"/>
        </w:rPr>
        <w:t xml:space="preserve">, p. 231). Bien que les travaux ou ouvrages soient des exemples d’« éléments matériels » pouvant faire partie d’une entreprise (Coutu et autres, p. 635 (italique omis)), </w:t>
      </w:r>
      <w:r w:rsidRPr="00B24801">
        <w:rPr>
          <w:rFonts w:cs="Times New Roman"/>
          <w:smallCaps/>
        </w:rPr>
        <w:t>[traduction]</w:t>
      </w:r>
      <w:r w:rsidRPr="00B24801">
        <w:rPr>
          <w:rFonts w:cs="Times New Roman"/>
        </w:rPr>
        <w:t xml:space="preserve"> « [l]es entreprises, qui existent indépendamment d’un ouvrage, ne figurent pas à l’al. 92(10)c) et ne peuvent faire l’objet d’une telle déclaration » (</w:t>
      </w:r>
      <w:r w:rsidRPr="00B24801">
        <w:rPr>
          <w:rFonts w:cs="Times New Roman"/>
          <w:i/>
        </w:rPr>
        <w:t>Renvoi relatif aux débardeurs</w:t>
      </w:r>
      <w:r w:rsidRPr="00B24801">
        <w:rPr>
          <w:rFonts w:cs="Times New Roman"/>
        </w:rPr>
        <w:t xml:space="preserve">, p. 553). Le point de départ approprié pour déterminer la portée d’un exercice particulier du pouvoir déclaratoire est donc la déclaration elle-même, dont l’interprétation permet de cerner les ouvrages auxquels elle s’applique (voir, p. ex., </w:t>
      </w:r>
      <w:proofErr w:type="spellStart"/>
      <w:r w:rsidRPr="00B24801">
        <w:rPr>
          <w:rFonts w:cs="Times New Roman"/>
          <w:i/>
        </w:rPr>
        <w:t>Chamney</w:t>
      </w:r>
      <w:proofErr w:type="spellEnd"/>
      <w:r w:rsidRPr="00B24801">
        <w:rPr>
          <w:rFonts w:cs="Times New Roman"/>
          <w:i/>
        </w:rPr>
        <w:t xml:space="preserve"> c. La Reine</w:t>
      </w:r>
      <w:r w:rsidRPr="00B24801">
        <w:rPr>
          <w:rFonts w:cs="Times New Roman"/>
        </w:rPr>
        <w:t xml:space="preserve">, [1975] 2 R.C.S. 151, p. 157-159; </w:t>
      </w:r>
      <w:r w:rsidRPr="00B24801">
        <w:rPr>
          <w:rFonts w:cs="Times New Roman"/>
          <w:i/>
        </w:rPr>
        <w:t>Canadian Pacific Railway Co. c. Attorney-General for British Columbia</w:t>
      </w:r>
      <w:r w:rsidRPr="00B24801">
        <w:rPr>
          <w:rFonts w:cs="Times New Roman"/>
        </w:rPr>
        <w:t>, [1950] A.C. 122 (C.P.) (« </w:t>
      </w:r>
      <w:r w:rsidRPr="00B24801">
        <w:rPr>
          <w:rFonts w:cs="Times New Roman"/>
          <w:i/>
        </w:rPr>
        <w:t xml:space="preserve">Empress </w:t>
      </w:r>
      <w:proofErr w:type="spellStart"/>
      <w:r w:rsidRPr="00B24801">
        <w:rPr>
          <w:rFonts w:cs="Times New Roman"/>
          <w:i/>
        </w:rPr>
        <w:t>Hotel</w:t>
      </w:r>
      <w:proofErr w:type="spellEnd"/>
      <w:r w:rsidRPr="00B24801">
        <w:rPr>
          <w:rFonts w:cs="Times New Roman"/>
          <w:i/>
        </w:rPr>
        <w:t> »</w:t>
      </w:r>
      <w:r w:rsidRPr="00B24801">
        <w:rPr>
          <w:rFonts w:cs="Times New Roman"/>
        </w:rPr>
        <w:t>), p. 146-148).</w:t>
      </w:r>
    </w:p>
    <w:p w14:paraId="775F4E69" w14:textId="77777777" w:rsidR="007B47A0" w:rsidRPr="00B24801" w:rsidRDefault="007B47A0" w:rsidP="007B47A0">
      <w:pPr>
        <w:pStyle w:val="ParaNoNdepar-AltN"/>
        <w:rPr>
          <w:rFonts w:cs="Times New Roman"/>
        </w:rPr>
      </w:pPr>
      <w:r w:rsidRPr="00B24801">
        <w:rPr>
          <w:rFonts w:cs="Times New Roman"/>
        </w:rPr>
        <w:t xml:space="preserve">Néanmoins, il a été reconnu dans l’arrêt </w:t>
      </w:r>
      <w:r w:rsidRPr="00B24801">
        <w:rPr>
          <w:rFonts w:cs="Times New Roman"/>
          <w:i/>
        </w:rPr>
        <w:t>Ontario Hydro</w:t>
      </w:r>
      <w:r w:rsidRPr="00B24801">
        <w:rPr>
          <w:rFonts w:cs="Times New Roman"/>
        </w:rPr>
        <w:t xml:space="preserve"> qu’une déclaration faite en vertu de l’al. 92(10)c) conférait au Parlement la compétence sur davantage que « l’enveloppe matérielle » d’un ouvrage (p. 348; voir aussi p. 363 et 401). Tous les juges ont convenu qu’une telle déclaration [</w:t>
      </w:r>
      <w:r w:rsidRPr="00B24801">
        <w:rPr>
          <w:rFonts w:cs="Times New Roman"/>
          <w:smallCaps/>
        </w:rPr>
        <w:t>traduction</w:t>
      </w:r>
      <w:r w:rsidRPr="00B24801">
        <w:rPr>
          <w:rFonts w:cs="Times New Roman"/>
        </w:rPr>
        <w:t xml:space="preserve">] « s’applique à l’ouvrage </w:t>
      </w:r>
      <w:r w:rsidRPr="00B24801">
        <w:rPr>
          <w:rFonts w:cs="Times New Roman"/>
        </w:rPr>
        <w:lastRenderedPageBreak/>
        <w:t>envisagé sous son angle fonctionnel » (p. 349, le juge en chef Lamer, p. 363, le juge La Forest, et p. 402, le juge Iacobucci, citant tous Finkelstein, p. 629). Néanmoins, à partir de ce constat, les trois juges ont adopté des points de vue différents quant au sens de l’expression « ouvrages » et à sa relation avec le terme « entreprises ». Le juge La Forest a défini « ouvrages » de façon libérale, tandis que le juge en chef Lamer et le juge Iacobucci, malgré leurs conclusions différentes quant à l’étendue de la compétence fédérale en matière de relations de travail, étaient d’avis que les expressions « ouvrages » et « entreprises » renvoyaient à des concepts distincts.</w:t>
      </w:r>
    </w:p>
    <w:p w14:paraId="1E501472" w14:textId="77777777" w:rsidR="007B47A0" w:rsidRPr="00B24801" w:rsidRDefault="007B47A0" w:rsidP="007B47A0">
      <w:pPr>
        <w:pStyle w:val="ParaNoNdepar-AltN"/>
        <w:rPr>
          <w:rFonts w:cs="Times New Roman"/>
        </w:rPr>
      </w:pPr>
      <w:r w:rsidRPr="00B24801">
        <w:rPr>
          <w:rFonts w:cs="Times New Roman"/>
        </w:rPr>
        <w:t xml:space="preserve">Je souscris à l’avis du juge en chef Lamer qui, en cherchant à concilier les motifs respectifs des juges La Forest et Iacobucci, a jugé que la compétence du Parlement sur les ouvrages déclarés « comporte un certain contrôle sur les activités qui s’y exercent </w:t>
      </w:r>
      <w:proofErr w:type="gramStart"/>
      <w:r w:rsidRPr="00B24801">
        <w:rPr>
          <w:rFonts w:cs="Times New Roman"/>
        </w:rPr>
        <w:t>ou</w:t>
      </w:r>
      <w:proofErr w:type="gramEnd"/>
      <w:r w:rsidRPr="00B24801">
        <w:rPr>
          <w:rFonts w:cs="Times New Roman"/>
        </w:rPr>
        <w:t xml:space="preserve"> s’y rattachent; on a souvent décrit ces activités comme l’“entreprise” liée à l’ouvrage » (</w:t>
      </w:r>
      <w:r w:rsidRPr="00B24801">
        <w:rPr>
          <w:rFonts w:cs="Times New Roman"/>
          <w:i/>
        </w:rPr>
        <w:t>Ontario Hydro</w:t>
      </w:r>
      <w:r w:rsidRPr="00B24801">
        <w:rPr>
          <w:rFonts w:cs="Times New Roman"/>
        </w:rPr>
        <w:t>,</w:t>
      </w:r>
      <w:r w:rsidRPr="00B24801">
        <w:rPr>
          <w:rFonts w:cs="Times New Roman"/>
          <w:i/>
        </w:rPr>
        <w:t xml:space="preserve"> </w:t>
      </w:r>
      <w:r w:rsidRPr="00B24801">
        <w:rPr>
          <w:rFonts w:cs="Times New Roman"/>
        </w:rPr>
        <w:t xml:space="preserve">p. 349). Le juge en chef Lamer a conclu que « le pouvoir de réglementer les relations de travail » des responsables de l’exploitation des installations nucléaires faisait « partie intégrante » de la compétence fédérale en matière de production d’énergie nucléaire, en partie parce que les « possibilités de différend ouvrier » entraînent des « répercussions graves [. . .] sur les plans de la sécurité et de la santé » (p. 331, 340 et 345). La compétence du Parlement sur un ouvrage déclaré comporte le « pouvoir législatif de gérer et de contrôler l’ouvrage », de sorte que la compétence ne soit pas rendue « vide et inefficace » (p. 349 et 368; voir aussi I. H. Fraser, « Some </w:t>
      </w:r>
      <w:proofErr w:type="spellStart"/>
      <w:r w:rsidRPr="00B24801">
        <w:rPr>
          <w:rFonts w:cs="Times New Roman"/>
        </w:rPr>
        <w:t>Comments</w:t>
      </w:r>
      <w:proofErr w:type="spellEnd"/>
      <w:r w:rsidRPr="00B24801">
        <w:rPr>
          <w:rFonts w:cs="Times New Roman"/>
        </w:rPr>
        <w:t xml:space="preserve"> on </w:t>
      </w:r>
      <w:proofErr w:type="spellStart"/>
      <w:r w:rsidRPr="00B24801">
        <w:rPr>
          <w:rFonts w:cs="Times New Roman"/>
        </w:rPr>
        <w:t>Subsection</w:t>
      </w:r>
      <w:proofErr w:type="spellEnd"/>
      <w:r w:rsidRPr="00B24801">
        <w:rPr>
          <w:rFonts w:cs="Times New Roman"/>
        </w:rPr>
        <w:t xml:space="preserve"> 92(10) of the</w:t>
      </w:r>
      <w:r w:rsidRPr="00B24801">
        <w:rPr>
          <w:rFonts w:cs="Times New Roman"/>
          <w:i/>
        </w:rPr>
        <w:t xml:space="preserve"> Constitution </w:t>
      </w:r>
      <w:proofErr w:type="spellStart"/>
      <w:r w:rsidRPr="00B24801">
        <w:rPr>
          <w:rFonts w:cs="Times New Roman"/>
          <w:i/>
        </w:rPr>
        <w:t>Act</w:t>
      </w:r>
      <w:proofErr w:type="spellEnd"/>
      <w:r w:rsidRPr="00B24801">
        <w:rPr>
          <w:rFonts w:cs="Times New Roman"/>
          <w:i/>
        </w:rPr>
        <w:t xml:space="preserve">, </w:t>
      </w:r>
      <w:r w:rsidRPr="00B24801">
        <w:rPr>
          <w:rFonts w:cs="Times New Roman"/>
          <w:i/>
        </w:rPr>
        <w:lastRenderedPageBreak/>
        <w:t>1867</w:t>
      </w:r>
      <w:r w:rsidRPr="00B24801">
        <w:rPr>
          <w:rFonts w:cs="Times New Roman"/>
        </w:rPr>
        <w:t xml:space="preserve"> » (1984), 29 </w:t>
      </w:r>
      <w:r w:rsidRPr="00B24801">
        <w:rPr>
          <w:rFonts w:cs="Times New Roman"/>
          <w:i/>
        </w:rPr>
        <w:t>R.D.</w:t>
      </w:r>
      <w:r w:rsidRPr="00B24801">
        <w:rPr>
          <w:rFonts w:cs="Times New Roman"/>
        </w:rPr>
        <w:t xml:space="preserve"> </w:t>
      </w:r>
      <w:r w:rsidRPr="00B24801">
        <w:rPr>
          <w:rFonts w:cs="Times New Roman"/>
          <w:i/>
        </w:rPr>
        <w:t xml:space="preserve">McGill </w:t>
      </w:r>
      <w:r w:rsidRPr="00B24801">
        <w:rPr>
          <w:rFonts w:cs="Times New Roman"/>
        </w:rPr>
        <w:t xml:space="preserve">557, p. 584). Pour cette raison, la compétence fédérale s’étend à l’exploitant de l’ouvrage. </w:t>
      </w:r>
    </w:p>
    <w:p w14:paraId="012D2E76" w14:textId="77777777" w:rsidR="007B47A0" w:rsidRPr="00B24801" w:rsidRDefault="007B47A0" w:rsidP="007B47A0">
      <w:pPr>
        <w:pStyle w:val="ParaNoNdepar-AltN"/>
        <w:rPr>
          <w:rFonts w:cs="Times New Roman"/>
        </w:rPr>
      </w:pPr>
      <w:bookmarkStart w:id="128" w:name="_Ref242797677"/>
      <w:r w:rsidRPr="00B24801">
        <w:rPr>
          <w:rFonts w:cs="Times New Roman"/>
        </w:rPr>
        <w:t xml:space="preserve">Bien que les mots « ouvrages » et « entreprises » aient parfois été utilisés de manière interchangeable, la distinction entre eux est essentielle au maintien des limites qui encadrent la portée du pouvoir déclaratoire. Comme l’a expliqué l’auteur I. H. Fraser, </w:t>
      </w:r>
      <w:r w:rsidRPr="00B24801">
        <w:rPr>
          <w:rFonts w:cs="Times New Roman"/>
          <w:smallCaps/>
        </w:rPr>
        <w:t>[traduction]</w:t>
      </w:r>
      <w:r w:rsidRPr="00B24801">
        <w:rPr>
          <w:rFonts w:cs="Times New Roman"/>
        </w:rPr>
        <w:t xml:space="preserve"> « [l]a compétence à l’égard d’un ouvrage de nécessité comporte un certain élément de contrôle sur les usages qui en sont faits, quels qu’ils soient. Cependant, la compétence à l’égard d’un ouvrage ne fait que s’étendre à ces usages, elle ne découle pas de ceux-ci » (p. 587). </w:t>
      </w:r>
      <w:bookmarkStart w:id="129" w:name="_Hlk233823868"/>
      <w:r w:rsidRPr="00B24801">
        <w:rPr>
          <w:rFonts w:cs="Times New Roman"/>
        </w:rPr>
        <w:t xml:space="preserve">L’intervenant le procureur général de la Saskatchewan avance que la compétence directe </w:t>
      </w:r>
      <w:r w:rsidRPr="00B24801">
        <w:rPr>
          <w:rFonts w:cs="Times New Roman"/>
          <w:smallCaps/>
        </w:rPr>
        <w:t>[traduction]</w:t>
      </w:r>
      <w:r w:rsidRPr="00B24801">
        <w:rPr>
          <w:rFonts w:cs="Times New Roman"/>
        </w:rPr>
        <w:t xml:space="preserve"> « se rattache » à l’entreprise qui « exploite » l’ouvrage déclaré (m. </w:t>
      </w:r>
      <w:proofErr w:type="spellStart"/>
      <w:r w:rsidRPr="00B24801">
        <w:rPr>
          <w:rFonts w:cs="Times New Roman"/>
        </w:rPr>
        <w:t>interv</w:t>
      </w:r>
      <w:proofErr w:type="spellEnd"/>
      <w:r w:rsidRPr="00B24801">
        <w:rPr>
          <w:rFonts w:cs="Times New Roman"/>
        </w:rPr>
        <w:t xml:space="preserve">., par. 48; voir aussi </w:t>
      </w:r>
      <w:proofErr w:type="spellStart"/>
      <w:r w:rsidRPr="00B24801">
        <w:rPr>
          <w:rFonts w:cs="Times New Roman"/>
        </w:rPr>
        <w:t>m.a</w:t>
      </w:r>
      <w:proofErr w:type="spellEnd"/>
      <w:r w:rsidRPr="00B24801">
        <w:rPr>
          <w:rFonts w:cs="Times New Roman"/>
        </w:rPr>
        <w:t xml:space="preserve">., par. 48; m. </w:t>
      </w:r>
      <w:proofErr w:type="spellStart"/>
      <w:r w:rsidRPr="00B24801">
        <w:rPr>
          <w:rFonts w:cs="Times New Roman"/>
        </w:rPr>
        <w:t>interv</w:t>
      </w:r>
      <w:proofErr w:type="spellEnd"/>
      <w:r w:rsidRPr="00B24801">
        <w:rPr>
          <w:rFonts w:cs="Times New Roman"/>
        </w:rPr>
        <w:t xml:space="preserve">., procureur général de l’Ontario, par. 28; m. </w:t>
      </w:r>
      <w:proofErr w:type="spellStart"/>
      <w:r w:rsidRPr="00B24801">
        <w:rPr>
          <w:rFonts w:cs="Times New Roman"/>
        </w:rPr>
        <w:t>interv</w:t>
      </w:r>
      <w:proofErr w:type="spellEnd"/>
      <w:r w:rsidRPr="00B24801">
        <w:rPr>
          <w:rFonts w:cs="Times New Roman"/>
        </w:rPr>
        <w:t xml:space="preserve">., procureur général de l’Alberta, par. 32 et 37). Je suis également de cet avis. Cependant, la compétence à l’égard de l’exploitant découle de la compétence sur l’ouvrage, dans la mesure où elle </w:t>
      </w:r>
      <w:r w:rsidRPr="00B24801">
        <w:rPr>
          <w:rFonts w:cs="Times New Roman"/>
          <w:smallCaps/>
        </w:rPr>
        <w:t>[traduction]</w:t>
      </w:r>
      <w:r w:rsidRPr="00B24801">
        <w:rPr>
          <w:rFonts w:cs="Times New Roman"/>
        </w:rPr>
        <w:t xml:space="preserve"> « s’étend à ces usages » de l’ouvrage; elle ne découle pas d’une compétence indépendante et principale sur l’entreprise elle-même (Fraser, p. 587 et 597; voir aussi </w:t>
      </w:r>
      <w:r w:rsidRPr="00B24801">
        <w:rPr>
          <w:rFonts w:cs="Times New Roman"/>
          <w:i/>
        </w:rPr>
        <w:t>Division Shur Gain, Canada Packers Inc. c. Syndicat national des travailleurs et travailleuses de l’automobile, de l’aérospatiale et de l’outillage agricole du Canada</w:t>
      </w:r>
      <w:r w:rsidRPr="00B24801">
        <w:rPr>
          <w:rFonts w:cs="Times New Roman"/>
          <w:iCs/>
        </w:rPr>
        <w:t>,</w:t>
      </w:r>
      <w:r w:rsidRPr="00B24801">
        <w:rPr>
          <w:rFonts w:cs="Times New Roman"/>
          <w:i/>
        </w:rPr>
        <w:t xml:space="preserve"> </w:t>
      </w:r>
      <w:r w:rsidRPr="00B24801">
        <w:rPr>
          <w:rFonts w:cs="Times New Roman"/>
        </w:rPr>
        <w:t xml:space="preserve">[1992] 2 C.F. 3 (C.A.F.), p. 34-36; G.-A. Beaudoin, </w:t>
      </w:r>
      <w:r w:rsidRPr="00B24801">
        <w:rPr>
          <w:rFonts w:cs="Times New Roman"/>
          <w:i/>
        </w:rPr>
        <w:t>Le fédéralisme au Canada</w:t>
      </w:r>
      <w:r w:rsidRPr="00B24801">
        <w:rPr>
          <w:rFonts w:cs="Times New Roman"/>
        </w:rPr>
        <w:t xml:space="preserve"> (2000), p. 618).</w:t>
      </w:r>
      <w:bookmarkEnd w:id="128"/>
    </w:p>
    <w:p w14:paraId="3D5C1E90" w14:textId="77777777" w:rsidR="007B47A0" w:rsidRPr="00B24801" w:rsidRDefault="007B47A0" w:rsidP="007B47A0">
      <w:pPr>
        <w:pStyle w:val="Title3LevelTitre3Niveau"/>
        <w:numPr>
          <w:ilvl w:val="2"/>
          <w:numId w:val="21"/>
        </w:numPr>
        <w:jc w:val="both"/>
        <w:rPr>
          <w:rFonts w:cs="Times New Roman"/>
        </w:rPr>
      </w:pPr>
      <w:bookmarkStart w:id="130" w:name="_Toc233556384"/>
      <w:bookmarkStart w:id="131" w:name="_Toc233556385"/>
      <w:bookmarkStart w:id="132" w:name="_Toc233556387"/>
      <w:bookmarkStart w:id="133" w:name="_Toc233556388"/>
      <w:bookmarkStart w:id="134" w:name="_Toc233556389"/>
      <w:bookmarkStart w:id="135" w:name="_Toc233556390"/>
      <w:bookmarkStart w:id="136" w:name="_Toc233556391"/>
      <w:bookmarkStart w:id="137" w:name="_Toc233853044"/>
      <w:bookmarkStart w:id="138" w:name="_Toc233980583"/>
      <w:bookmarkStart w:id="139" w:name="_Toc242797534"/>
      <w:bookmarkStart w:id="140" w:name="_Toc231953055"/>
      <w:bookmarkStart w:id="141" w:name="_Toc232027338"/>
      <w:bookmarkStart w:id="142" w:name="_Toc232617611"/>
      <w:bookmarkStart w:id="143" w:name="_Toc233556392"/>
      <w:bookmarkEnd w:id="129"/>
      <w:bookmarkEnd w:id="130"/>
      <w:bookmarkEnd w:id="131"/>
      <w:bookmarkEnd w:id="132"/>
      <w:bookmarkEnd w:id="133"/>
      <w:bookmarkEnd w:id="134"/>
      <w:bookmarkEnd w:id="135"/>
      <w:bookmarkEnd w:id="136"/>
      <w:r w:rsidRPr="00B24801">
        <w:rPr>
          <w:rFonts w:cs="Times New Roman"/>
        </w:rPr>
        <w:t>La compétence directe en matière de relations de travail découle de l’exploitation d’un ouvrage fédéral</w:t>
      </w:r>
      <w:bookmarkEnd w:id="137"/>
      <w:bookmarkEnd w:id="138"/>
      <w:bookmarkEnd w:id="139"/>
    </w:p>
    <w:p w14:paraId="120D4EE9" w14:textId="77777777" w:rsidR="007B47A0" w:rsidRPr="00B24801" w:rsidRDefault="007B47A0" w:rsidP="007B47A0">
      <w:pPr>
        <w:pStyle w:val="ParaNoNdepar-AltN"/>
        <w:rPr>
          <w:rFonts w:cs="Times New Roman"/>
        </w:rPr>
      </w:pPr>
      <w:bookmarkStart w:id="144" w:name="_Ref233853157"/>
      <w:bookmarkStart w:id="145" w:name="_Ref231953172"/>
      <w:bookmarkEnd w:id="140"/>
      <w:bookmarkEnd w:id="141"/>
      <w:bookmarkEnd w:id="142"/>
      <w:bookmarkEnd w:id="143"/>
      <w:r w:rsidRPr="00B24801">
        <w:rPr>
          <w:rFonts w:cs="Times New Roman"/>
        </w:rPr>
        <w:lastRenderedPageBreak/>
        <w:t xml:space="preserve">Dans le contexte de l’al. 92(10)c), la compétence fédérale directe en matière de relations de travail n’entre en jeu que lorsqu’il s’agit d’étendre la portée du pouvoir déclaratoire sur les ouvrages à l’exploitant de ces ouvrages. Bien que les relations de travail constituent « une partie intégrante et essentielle de </w:t>
      </w:r>
      <w:r w:rsidRPr="00B24801">
        <w:rPr>
          <w:rFonts w:cs="Times New Roman"/>
          <w:iCs/>
        </w:rPr>
        <w:t>l’</w:t>
      </w:r>
      <w:r w:rsidRPr="00B24801">
        <w:rPr>
          <w:rFonts w:cs="Times New Roman"/>
          <w:iCs/>
          <w:u w:val="single"/>
        </w:rPr>
        <w:t>exploitation</w:t>
      </w:r>
      <w:r w:rsidRPr="00B24801">
        <w:rPr>
          <w:rFonts w:cs="Times New Roman"/>
        </w:rPr>
        <w:t xml:space="preserve"> d’un ouvrage » (</w:t>
      </w:r>
      <w:r w:rsidRPr="00B24801">
        <w:rPr>
          <w:rFonts w:cs="Times New Roman"/>
          <w:i/>
        </w:rPr>
        <w:t>Ontario Hydro</w:t>
      </w:r>
      <w:r w:rsidRPr="00B24801">
        <w:rPr>
          <w:rFonts w:cs="Times New Roman"/>
        </w:rPr>
        <w:t>, p. 367 (soulignement ajouté)), les ouvrages en soi, « étant des choses matérielles, n’ont pas de relations de travail » (</w:t>
      </w:r>
      <w:r w:rsidRPr="00B24801">
        <w:rPr>
          <w:rFonts w:cs="Times New Roman"/>
          <w:i/>
        </w:rPr>
        <w:t>Central Western Railway Corp. c. T.U.T.</w:t>
      </w:r>
      <w:r w:rsidRPr="00B24801">
        <w:rPr>
          <w:rFonts w:cs="Times New Roman"/>
        </w:rPr>
        <w:t xml:space="preserve">, [1989] 2 C.F. 186, par. 214, le juge Hugessen, dissident, conf. par </w:t>
      </w:r>
      <w:r w:rsidRPr="00B24801">
        <w:rPr>
          <w:rFonts w:cs="Times New Roman"/>
          <w:i/>
        </w:rPr>
        <w:t>Central Western</w:t>
      </w:r>
      <w:r w:rsidRPr="00B24801">
        <w:rPr>
          <w:rFonts w:cs="Times New Roman"/>
        </w:rPr>
        <w:t xml:space="preserve"> (C.S.C.); </w:t>
      </w:r>
      <w:r w:rsidRPr="00B24801">
        <w:rPr>
          <w:rFonts w:cs="Times New Roman"/>
          <w:i/>
        </w:rPr>
        <w:t>Shur Gain</w:t>
      </w:r>
      <w:r w:rsidRPr="00B24801">
        <w:rPr>
          <w:rFonts w:cs="Times New Roman"/>
        </w:rPr>
        <w:t>, p. 34).</w:t>
      </w:r>
      <w:bookmarkEnd w:id="144"/>
    </w:p>
    <w:p w14:paraId="2399025C" w14:textId="77777777" w:rsidR="007B47A0" w:rsidRPr="00B24801" w:rsidRDefault="007B47A0" w:rsidP="007B47A0">
      <w:pPr>
        <w:pStyle w:val="ParaNoNdepar-AltN"/>
        <w:rPr>
          <w:rFonts w:cs="Times New Roman"/>
        </w:rPr>
      </w:pPr>
      <w:r w:rsidRPr="00B24801">
        <w:rPr>
          <w:rFonts w:cs="Times New Roman"/>
        </w:rPr>
        <w:t xml:space="preserve">Dans l’arrêt </w:t>
      </w:r>
      <w:r w:rsidRPr="00B24801">
        <w:rPr>
          <w:rFonts w:cs="Times New Roman"/>
          <w:i/>
        </w:rPr>
        <w:t>Central Western</w:t>
      </w:r>
      <w:r w:rsidRPr="00B24801">
        <w:rPr>
          <w:rFonts w:cs="Times New Roman"/>
        </w:rPr>
        <w:t xml:space="preserve">, le juge en chef Dickson a expliqué en quoi la compétence directe découle de l’al. 92(10)a), lequel soustrait à la compétence provinciale les ouvrages ou les entreprises qui relient les provinces entre elles ou qui s’étendent au-delà des limites d’une province. Sous le régime de l’al. 92(10)a), l’analyse relative à la compétence directe vise principalement à déterminer si l’entreprise ou l’ouvrage est </w:t>
      </w:r>
      <w:r w:rsidRPr="00B24801">
        <w:rPr>
          <w:rFonts w:cs="Times New Roman"/>
          <w:i/>
        </w:rPr>
        <w:t xml:space="preserve">en soi </w:t>
      </w:r>
      <w:r w:rsidRPr="00B24801">
        <w:rPr>
          <w:rFonts w:cs="Times New Roman"/>
        </w:rPr>
        <w:t>de compétence fédérale (p. 1125). L’alinéa 92(10)c), en revanche, vise uniquement les « travaux » (ou « ouvrages »). Comme un ouvrage n’a pas lui-même de relations de travail, le fondement de la compétence fédérale directe en matière de relations de travail diffère dans le contexte du pouvoir déclaratoire. La compétence du Parlement s’étendra seulement aux relations de travail de l’entreprise qui exploite l’ouvrage déclaré.</w:t>
      </w:r>
    </w:p>
    <w:p w14:paraId="3FFC425D" w14:textId="77777777" w:rsidR="007B47A0" w:rsidRPr="00B24801" w:rsidRDefault="007B47A0" w:rsidP="007B47A0">
      <w:pPr>
        <w:pStyle w:val="ParaNoNdepar-AltN"/>
        <w:rPr>
          <w:rFonts w:cs="Times New Roman"/>
        </w:rPr>
      </w:pPr>
      <w:r w:rsidRPr="00B24801">
        <w:rPr>
          <w:rFonts w:cs="Times New Roman"/>
        </w:rPr>
        <w:t xml:space="preserve">Il existe une justification claire à la reconnaissance de la compétence du Parlement sur les relations de travail d’une entreprise exploitant un ouvrage fédéral. La </w:t>
      </w:r>
      <w:r w:rsidRPr="00B24801">
        <w:rPr>
          <w:rFonts w:cs="Times New Roman"/>
        </w:rPr>
        <w:lastRenderedPageBreak/>
        <w:t>main-d’œuvre constitue l’un des « moyens » d’une entreprise permettant « la poursuite [. . .] d’activités précises » (</w:t>
      </w:r>
      <w:r w:rsidRPr="00B24801">
        <w:rPr>
          <w:rFonts w:cs="Times New Roman"/>
          <w:i/>
        </w:rPr>
        <w:t>Bibeault</w:t>
      </w:r>
      <w:r w:rsidRPr="00B24801">
        <w:rPr>
          <w:rFonts w:cs="Times New Roman"/>
        </w:rPr>
        <w:t xml:space="preserve">, p. 1105). Pour cette même raison, le juge Abbott avait conclu que la réglementation des questions liées aux relations de travail, comme </w:t>
      </w:r>
      <w:r w:rsidRPr="00B24801">
        <w:rPr>
          <w:rFonts w:cs="Times New Roman"/>
          <w:smallCaps/>
        </w:rPr>
        <w:t>[traduction]</w:t>
      </w:r>
      <w:r w:rsidRPr="00B24801">
        <w:rPr>
          <w:rFonts w:cs="Times New Roman"/>
        </w:rPr>
        <w:t xml:space="preserve"> « [l]e droit de grève et le droit à la négociation collective [. . .] et les décisions portant sur des sujets tels que la durée du travail, les taux de salaire [et] les conditions de travail », concerne « une partie essentielle de l’administration et de l’exploitation de toute entreprise commerciale ou industrielle » (</w:t>
      </w:r>
      <w:r w:rsidRPr="00B24801">
        <w:rPr>
          <w:rFonts w:cs="Times New Roman"/>
          <w:i/>
        </w:rPr>
        <w:t>Renvoi relatif aux débardeurs</w:t>
      </w:r>
      <w:r w:rsidRPr="00B24801">
        <w:rPr>
          <w:rFonts w:cs="Times New Roman"/>
        </w:rPr>
        <w:t xml:space="preserve">, p. 592; voir aussi </w:t>
      </w:r>
      <w:r w:rsidRPr="00B24801">
        <w:rPr>
          <w:rFonts w:cs="Times New Roman"/>
          <w:i/>
        </w:rPr>
        <w:t xml:space="preserve">Commission du salaire minimum c. Bell </w:t>
      </w:r>
      <w:proofErr w:type="spellStart"/>
      <w:r w:rsidRPr="00B24801">
        <w:rPr>
          <w:rFonts w:cs="Times New Roman"/>
          <w:i/>
        </w:rPr>
        <w:t>Telephone</w:t>
      </w:r>
      <w:proofErr w:type="spellEnd"/>
      <w:r w:rsidRPr="00B24801">
        <w:rPr>
          <w:rFonts w:cs="Times New Roman"/>
          <w:i/>
        </w:rPr>
        <w:t xml:space="preserve"> Co. of Canada</w:t>
      </w:r>
      <w:r w:rsidRPr="00B24801">
        <w:rPr>
          <w:rFonts w:cs="Times New Roman"/>
        </w:rPr>
        <w:t xml:space="preserve">, [1966] R.C.S. 767, p. 772; </w:t>
      </w:r>
      <w:r w:rsidRPr="00B24801">
        <w:rPr>
          <w:rFonts w:cs="Times New Roman"/>
          <w:i/>
        </w:rPr>
        <w:t>Bell</w:t>
      </w:r>
      <w:r w:rsidRPr="00B24801">
        <w:rPr>
          <w:rFonts w:cs="Times New Roman"/>
        </w:rPr>
        <w:t>, p. 762). Par conséquent, l’ordre de gouvernement qui a compétence à l’égard d’une entreprise a généralement aussi compétence à l’égard des relations de travail au sein de cette entreprise (Fraser, p. 580).</w:t>
      </w:r>
    </w:p>
    <w:bookmarkEnd w:id="145"/>
    <w:p w14:paraId="4B8AB370" w14:textId="77777777" w:rsidR="007B47A0" w:rsidRPr="00B24801" w:rsidRDefault="007B47A0" w:rsidP="007B47A0">
      <w:pPr>
        <w:pStyle w:val="ParaNoNdepar-AltN"/>
        <w:rPr>
          <w:rFonts w:cs="Times New Roman"/>
        </w:rPr>
      </w:pPr>
      <w:r w:rsidRPr="00B24801">
        <w:rPr>
          <w:rFonts w:cs="Times New Roman"/>
        </w:rPr>
        <w:t>La compétence fédérale directe sur une entreprise dépend de la question de savoir si la « nature fonctionnelle essentielle [. . .] de l’entreprise [la] fait tomber dans un champ de compétence fédérale », de sorte que l’entreprise elle-même est fédérale (</w:t>
      </w:r>
      <w:r w:rsidRPr="00B24801">
        <w:rPr>
          <w:rFonts w:cs="Times New Roman"/>
          <w:i/>
        </w:rPr>
        <w:t>Tessier</w:t>
      </w:r>
      <w:r w:rsidRPr="00B24801">
        <w:rPr>
          <w:rFonts w:cs="Times New Roman"/>
        </w:rPr>
        <w:t>, par. 18). Les tribunaux doivent « considérer les activités normales ou habituelles de l’affaire en tant qu’“entreprise active” [. . .], sans tenir compte de facteurs exceptionnels ou occasionnels » (</w:t>
      </w:r>
      <w:r w:rsidRPr="00B24801">
        <w:rPr>
          <w:rFonts w:cs="Times New Roman"/>
          <w:i/>
        </w:rPr>
        <w:t>Construction Montcalm</w:t>
      </w:r>
      <w:r w:rsidRPr="00B24801">
        <w:rPr>
          <w:rFonts w:cs="Times New Roman"/>
        </w:rPr>
        <w:t xml:space="preserve">, p. 769; </w:t>
      </w:r>
      <w:r w:rsidRPr="00B24801">
        <w:rPr>
          <w:rFonts w:cs="Times New Roman"/>
          <w:i/>
        </w:rPr>
        <w:t xml:space="preserve">Four B </w:t>
      </w:r>
      <w:proofErr w:type="spellStart"/>
      <w:r w:rsidRPr="00B24801">
        <w:rPr>
          <w:rFonts w:cs="Times New Roman"/>
          <w:i/>
        </w:rPr>
        <w:t>Manufacturing</w:t>
      </w:r>
      <w:proofErr w:type="spellEnd"/>
      <w:r w:rsidRPr="00B24801">
        <w:rPr>
          <w:rFonts w:cs="Times New Roman"/>
          <w:i/>
        </w:rPr>
        <w:t xml:space="preserve"> Ltd. c. Travailleurs unis du vêtement d’Amérique</w:t>
      </w:r>
      <w:r w:rsidRPr="00B24801">
        <w:rPr>
          <w:rFonts w:cs="Times New Roman"/>
        </w:rPr>
        <w:t xml:space="preserve">, [1980] 1 R.C.S. 1031, p. 1045-1046). Toutefois, le champ de compétence pertinent en l’espèce est prévu à l’al. 92(10)c), qui ne vise pas les entreprises, mais les ouvrages. Comme notre Cour l’a reconnu, la déclaration confère au Parlement le « pouvoir [. . .] de gérer et de </w:t>
      </w:r>
      <w:r w:rsidRPr="00B24801">
        <w:rPr>
          <w:rFonts w:cs="Times New Roman"/>
        </w:rPr>
        <w:lastRenderedPageBreak/>
        <w:t>contrôler » l’ouvrage déclaré être à l’avantage général du Canada (</w:t>
      </w:r>
      <w:r w:rsidRPr="00B24801">
        <w:rPr>
          <w:rFonts w:cs="Times New Roman"/>
          <w:i/>
        </w:rPr>
        <w:t>Ontario Hydro</w:t>
      </w:r>
      <w:r w:rsidRPr="00B24801">
        <w:rPr>
          <w:rFonts w:cs="Times New Roman"/>
        </w:rPr>
        <w:t xml:space="preserve">, p. 349 et 368). </w:t>
      </w:r>
    </w:p>
    <w:p w14:paraId="2312BEBC" w14:textId="77777777" w:rsidR="007B47A0" w:rsidRPr="00B24801" w:rsidRDefault="007B47A0" w:rsidP="007B47A0">
      <w:pPr>
        <w:pStyle w:val="ParaNoNdepar-AltN"/>
        <w:rPr>
          <w:rFonts w:cs="Times New Roman"/>
        </w:rPr>
      </w:pPr>
      <w:r w:rsidRPr="00B24801">
        <w:rPr>
          <w:rFonts w:cs="Times New Roman"/>
        </w:rPr>
        <w:t xml:space="preserve">Le présent pourvoi a pour objet la déclaration du Parlement selon laquelle certains silos à grains sont des ouvrages fédéraux. L’article 2 de la </w:t>
      </w:r>
      <w:r w:rsidRPr="00B24801">
        <w:rPr>
          <w:rFonts w:cs="Times New Roman"/>
          <w:i/>
        </w:rPr>
        <w:t xml:space="preserve">Loi sur les grains du Canada </w:t>
      </w:r>
      <w:r w:rsidRPr="00B24801">
        <w:rPr>
          <w:rFonts w:cs="Times New Roman"/>
        </w:rPr>
        <w:t xml:space="preserve">prévoit que les silos à grains sont construits en vue de la manutention et du stockage des grains reçus; le par. 56(1) exige que la structure et les installations d’un silo à grains soient conformes aux dispositions de la Loi ou aux arrêtés de la Commission. Ainsi, c’est l’exploitant qui détermine la manière dont un silo à grains est utilisé aux fins précises auxquelles il est destiné. C’est cette conception particulière de l’exploitation de l’ouvrage visé par une déclaration qui établit le lien entre une entreprise et celui-ci. L’entreprise dont les « activités normales ou habituelles » consistent en l’exploitation d’un silo à grains relève </w:t>
      </w:r>
      <w:r w:rsidRPr="00B24801">
        <w:rPr>
          <w:rFonts w:cs="Times New Roman"/>
          <w:i/>
        </w:rPr>
        <w:t>elle-même</w:t>
      </w:r>
      <w:r w:rsidRPr="00B24801">
        <w:rPr>
          <w:rFonts w:cs="Times New Roman"/>
        </w:rPr>
        <w:t xml:space="preserve"> de la compétence fédérale (</w:t>
      </w:r>
      <w:r w:rsidRPr="00B24801">
        <w:rPr>
          <w:rFonts w:cs="Times New Roman"/>
          <w:i/>
        </w:rPr>
        <w:t>Construction Montcalm</w:t>
      </w:r>
      <w:r w:rsidRPr="00B24801">
        <w:rPr>
          <w:rFonts w:cs="Times New Roman"/>
        </w:rPr>
        <w:t>, p. 769). Par conséquent, ses relations de travail ressortissent à la compétence fédérale directe.</w:t>
      </w:r>
    </w:p>
    <w:p w14:paraId="212BED1E" w14:textId="77777777" w:rsidR="007B47A0" w:rsidRPr="00B24801" w:rsidRDefault="007B47A0" w:rsidP="007B47A0">
      <w:pPr>
        <w:pStyle w:val="ParaNoNdepar-AltN"/>
        <w:rPr>
          <w:rFonts w:cs="Times New Roman"/>
        </w:rPr>
      </w:pPr>
      <w:r w:rsidRPr="00B24801">
        <w:rPr>
          <w:rFonts w:cs="Times New Roman"/>
        </w:rPr>
        <w:t xml:space="preserve">En ayant à l’esprit </w:t>
      </w:r>
      <w:bookmarkStart w:id="146" w:name="_Hlk244680803"/>
      <w:r w:rsidRPr="00B24801">
        <w:rPr>
          <w:rFonts w:cs="Times New Roman"/>
        </w:rPr>
        <w:t>le cadre exposé ci-dessus</w:t>
      </w:r>
      <w:bookmarkEnd w:id="146"/>
      <w:r w:rsidRPr="00B24801">
        <w:rPr>
          <w:rFonts w:cs="Times New Roman"/>
        </w:rPr>
        <w:t xml:space="preserve">, j’estime, avec égards, que la Cour d’appel a commis trois erreurs distinctes dans son analyse de la compétence directe. Premièrement, elle a importé de l’analyse propre à la compétence dérivée la notion d’« intégration », et lui a accordé un caractère déterminant pour conclure à l’existence d’une compétence directe. La Cour d’appel a invoqué les motifs du juge en chef Lamer et du juge La Forest dans l’arrêt </w:t>
      </w:r>
      <w:r w:rsidRPr="00B24801">
        <w:rPr>
          <w:rFonts w:cs="Times New Roman"/>
          <w:i/>
          <w:iCs/>
        </w:rPr>
        <w:t>Ontario Hydro</w:t>
      </w:r>
      <w:r w:rsidRPr="00B24801">
        <w:rPr>
          <w:rFonts w:cs="Times New Roman"/>
        </w:rPr>
        <w:t xml:space="preserve"> au soutien de la thèse selon laquelle l’« intégration » est le facteur pertinent qui permet d’établir l’existence d’une </w:t>
      </w:r>
      <w:r w:rsidRPr="00B24801">
        <w:rPr>
          <w:rFonts w:cs="Times New Roman"/>
        </w:rPr>
        <w:lastRenderedPageBreak/>
        <w:t>compétence directe (par. 84-86 et 96). Or, dans cette affaire, la compétence directe était limitée aux « employés qui utilisent les réacteurs nucléaires pour produire l’énergie thermique », c’est-à-dire, aux personnes participant à l’exploitation des installations de production d’énergie nucléaire (</w:t>
      </w:r>
      <w:r w:rsidRPr="00B24801">
        <w:rPr>
          <w:rFonts w:cs="Times New Roman"/>
          <w:i/>
        </w:rPr>
        <w:t>Ontario Hydro</w:t>
      </w:r>
      <w:r w:rsidRPr="00B24801">
        <w:rPr>
          <w:rFonts w:cs="Times New Roman"/>
        </w:rPr>
        <w:t xml:space="preserve">, p. 356). De fait, l’intégration ne permet pas, à elle seule, d’établir la compétence directe. Dans l’arrêt </w:t>
      </w:r>
      <w:r w:rsidRPr="00B24801">
        <w:rPr>
          <w:rFonts w:cs="Times New Roman"/>
          <w:i/>
          <w:iCs/>
        </w:rPr>
        <w:t xml:space="preserve">Alberta </w:t>
      </w:r>
      <w:proofErr w:type="spellStart"/>
      <w:r w:rsidRPr="00B24801">
        <w:rPr>
          <w:rFonts w:cs="Times New Roman"/>
          <w:i/>
          <w:iCs/>
        </w:rPr>
        <w:t>Government</w:t>
      </w:r>
      <w:proofErr w:type="spellEnd"/>
      <w:r w:rsidRPr="00B24801">
        <w:rPr>
          <w:rFonts w:cs="Times New Roman"/>
          <w:i/>
          <w:iCs/>
        </w:rPr>
        <w:t xml:space="preserve"> </w:t>
      </w:r>
      <w:proofErr w:type="spellStart"/>
      <w:r w:rsidRPr="00B24801">
        <w:rPr>
          <w:rFonts w:cs="Times New Roman"/>
          <w:i/>
          <w:iCs/>
        </w:rPr>
        <w:t>Telephones</w:t>
      </w:r>
      <w:proofErr w:type="spellEnd"/>
      <w:r w:rsidRPr="00B24801">
        <w:rPr>
          <w:rFonts w:cs="Times New Roman"/>
          <w:i/>
          <w:iCs/>
        </w:rPr>
        <w:t xml:space="preserve"> c. Canada (Conseil de la radiodiffusion et des télécommunications canadiennes)</w:t>
      </w:r>
      <w:r w:rsidRPr="00B24801">
        <w:rPr>
          <w:rFonts w:cs="Times New Roman"/>
        </w:rPr>
        <w:t>, [1989] 2 R.C.S. 225, la Cour avait conclu à l’existence de la compétence fédérale parce que la société appelante « elle-même exploit[ait] une entreprise interprovinciale » (p. 263 (soulignement omis)).</w:t>
      </w:r>
    </w:p>
    <w:p w14:paraId="2D3461EE" w14:textId="77777777" w:rsidR="007B47A0" w:rsidRPr="00B24801" w:rsidRDefault="007B47A0" w:rsidP="007B47A0">
      <w:pPr>
        <w:pStyle w:val="ParaNoNdepar-AltN"/>
        <w:rPr>
          <w:rFonts w:cs="Times New Roman"/>
        </w:rPr>
      </w:pPr>
      <w:r w:rsidRPr="00B24801">
        <w:rPr>
          <w:rFonts w:cs="Times New Roman"/>
        </w:rPr>
        <w:t>Deuxièmement, la Cour d’appel a reformulé à tort l’analyse de la compétence directe en une analyse se rapportant aux activités « fonctionnellement nécessaires et essentiel[le]s » à l’ouvrage déclaré à l’avantage général du Canada (par. 87) plutôt qu’à la nature de l’entreprise elle-même. Or, aussi importante soit-elle, la fourniture de services à un ouvrage ou à une entreprise de compétence fédérale n’a pas pour effet de transformer une entreprise provinciale en entreprise fédérale (voir M. Patenaude, « </w:t>
      </w:r>
      <w:r w:rsidRPr="00B24801">
        <w:rPr>
          <w:rFonts w:cs="Times New Roman"/>
          <w:iCs/>
        </w:rPr>
        <w:t>L’entreprise qui fait partie intégrante de l’entreprise</w:t>
      </w:r>
      <w:r w:rsidRPr="00B24801">
        <w:rPr>
          <w:rFonts w:cs="Times New Roman"/>
          <w:i/>
          <w:iCs/>
        </w:rPr>
        <w:t xml:space="preserve"> </w:t>
      </w:r>
      <w:r w:rsidRPr="00B24801">
        <w:rPr>
          <w:rFonts w:cs="Times New Roman"/>
          <w:iCs/>
        </w:rPr>
        <w:t>fédérale »</w:t>
      </w:r>
      <w:r w:rsidRPr="00B24801">
        <w:rPr>
          <w:rFonts w:cs="Times New Roman"/>
        </w:rPr>
        <w:t xml:space="preserve"> (1991), 32 </w:t>
      </w:r>
      <w:r w:rsidRPr="00B24801">
        <w:rPr>
          <w:rFonts w:cs="Times New Roman"/>
          <w:i/>
        </w:rPr>
        <w:t>C. de D.</w:t>
      </w:r>
      <w:r w:rsidRPr="00B24801">
        <w:rPr>
          <w:rFonts w:cs="Times New Roman"/>
        </w:rPr>
        <w:t xml:space="preserve"> 763, p. 786 et 801). Il ne s’agit pas de savoir si l’entreprise en cause fournit des services importants, voire essentiels, à un ouvrage fédéral, mais si sa [</w:t>
      </w:r>
      <w:r w:rsidRPr="00B24801">
        <w:rPr>
          <w:rFonts w:cs="Times New Roman"/>
          <w:smallCaps/>
        </w:rPr>
        <w:t>traduction</w:t>
      </w:r>
      <w:r w:rsidRPr="00B24801">
        <w:rPr>
          <w:rFonts w:cs="Times New Roman"/>
        </w:rPr>
        <w:t xml:space="preserve">] « nature opérationnelle essentielle — révélée par ses activités — est celle d’un exploitant d’un ouvrage fédéral » (m. </w:t>
      </w:r>
      <w:proofErr w:type="spellStart"/>
      <w:r w:rsidRPr="00B24801">
        <w:rPr>
          <w:rFonts w:cs="Times New Roman"/>
        </w:rPr>
        <w:t>interv</w:t>
      </w:r>
      <w:proofErr w:type="spellEnd"/>
      <w:r w:rsidRPr="00B24801">
        <w:rPr>
          <w:rFonts w:cs="Times New Roman"/>
        </w:rPr>
        <w:t xml:space="preserve">., procureur général de la Saskatchewan, par. 52). </w:t>
      </w:r>
    </w:p>
    <w:p w14:paraId="4D9DAC9F" w14:textId="77777777" w:rsidR="007B47A0" w:rsidRPr="00B24801" w:rsidRDefault="007B47A0" w:rsidP="007B47A0">
      <w:pPr>
        <w:pStyle w:val="ParaNoNdepar-AltN"/>
        <w:rPr>
          <w:rFonts w:cs="Times New Roman"/>
        </w:rPr>
      </w:pPr>
      <w:r w:rsidRPr="00B24801">
        <w:rPr>
          <w:rFonts w:cs="Times New Roman"/>
        </w:rPr>
        <w:lastRenderedPageBreak/>
        <w:t>Troisièmement, la Cour d’appel a commis une erreur en traitant les activités réglementées par la Loi</w:t>
      </w:r>
      <w:r w:rsidRPr="00B24801">
        <w:rPr>
          <w:rFonts w:cs="Times New Roman"/>
          <w:i/>
        </w:rPr>
        <w:t xml:space="preserve"> </w:t>
      </w:r>
      <w:r w:rsidRPr="00B24801">
        <w:rPr>
          <w:rFonts w:cs="Times New Roman"/>
        </w:rPr>
        <w:t xml:space="preserve">comme étant déterminantes dans l’analyse de la compétence directe. L’application, faite par la Cour d’appel, de la compétence directe aux 14 employés de SGS </w:t>
      </w:r>
      <w:proofErr w:type="gramStart"/>
      <w:r w:rsidRPr="00B24801">
        <w:rPr>
          <w:rFonts w:cs="Times New Roman"/>
        </w:rPr>
        <w:t>reposait</w:t>
      </w:r>
      <w:proofErr w:type="gramEnd"/>
      <w:r w:rsidRPr="00B24801">
        <w:rPr>
          <w:rFonts w:cs="Times New Roman"/>
        </w:rPr>
        <w:t xml:space="preserve"> en partie sur l’idée que leurs services faisaient partie « du contenu essentiel de </w:t>
      </w:r>
      <w:r w:rsidRPr="00B24801">
        <w:rPr>
          <w:rFonts w:cs="Times New Roman"/>
          <w:u w:val="single"/>
        </w:rPr>
        <w:t>la compétence fédérale composite sur les grains</w:t>
      </w:r>
      <w:r w:rsidRPr="00B24801">
        <w:rPr>
          <w:rFonts w:cs="Times New Roman"/>
        </w:rPr>
        <w:t> » (par. 97 (je souligne)). Toutefois, cette considération n’est d’aucune aide pour trancher la question de l’applicabilité des lois fédérales du travail aux inspecteurs de grains dont les services sont retenus par les exploitants de silos. Comme l’a expliqué le juge en chef Laskin, « la compétence fédérale en certains domaines ne signifie pas nécessairement que toute entreprise engagée dans un de ces domaines tombe automatiquement sous la compétence fédérale » (</w:t>
      </w:r>
      <w:r w:rsidRPr="00B24801">
        <w:rPr>
          <w:rFonts w:cs="Times New Roman"/>
          <w:i/>
        </w:rPr>
        <w:t>Régie des services publics c. Dionne</w:t>
      </w:r>
      <w:r w:rsidRPr="00B24801">
        <w:rPr>
          <w:rFonts w:cs="Times New Roman"/>
        </w:rPr>
        <w:t xml:space="preserve">, [1978] 2 R.C.S. 191, p. 200; voir aussi Patenaude, p. 769). C’est la déclaration faite en vertu de l’al. 92(10)c) qui a permis au Parlement </w:t>
      </w:r>
      <w:r w:rsidRPr="00B24801">
        <w:rPr>
          <w:rFonts w:cs="Times New Roman"/>
          <w:smallCaps/>
        </w:rPr>
        <w:t>[traduction]</w:t>
      </w:r>
      <w:r w:rsidRPr="00B24801">
        <w:rPr>
          <w:rFonts w:cs="Times New Roman"/>
        </w:rPr>
        <w:t xml:space="preserve"> « de réglementer les silos et les activités de ceux qui en assurent l’exploitation » (</w:t>
      </w:r>
      <w:r w:rsidRPr="00B24801">
        <w:rPr>
          <w:rFonts w:cs="Times New Roman"/>
          <w:i/>
        </w:rPr>
        <w:t xml:space="preserve">The King c. Eastern Terminal </w:t>
      </w:r>
      <w:proofErr w:type="spellStart"/>
      <w:r w:rsidRPr="00B24801">
        <w:rPr>
          <w:rFonts w:cs="Times New Roman"/>
          <w:i/>
        </w:rPr>
        <w:t>Elevator</w:t>
      </w:r>
      <w:proofErr w:type="spellEnd"/>
      <w:r w:rsidRPr="00B24801">
        <w:rPr>
          <w:rFonts w:cs="Times New Roman"/>
          <w:i/>
        </w:rPr>
        <w:t xml:space="preserve"> Co.</w:t>
      </w:r>
      <w:r w:rsidRPr="00B24801">
        <w:rPr>
          <w:rFonts w:cs="Times New Roman"/>
        </w:rPr>
        <w:t xml:space="preserve">, [1925] R.C.S. 434, p. 447), ce qui a rattaché par le fait même la compétence directe aux entreprises faisant fonctionner chacune de ces installations. Ainsi, en l’espèce, l’analyse de la compétence directe doit porter sur l’exercice du pouvoir déclaratoire à l’égard des silos à grains, et non sur « la compétence fédérale composite sur les grains » (motifs de la C.A., par. 97). </w:t>
      </w:r>
    </w:p>
    <w:p w14:paraId="34F41C57" w14:textId="77777777" w:rsidR="007B47A0" w:rsidRPr="00B24801" w:rsidRDefault="007B47A0" w:rsidP="007B47A0">
      <w:pPr>
        <w:pStyle w:val="ParaNoNdepar-AltN"/>
        <w:rPr>
          <w:rFonts w:cs="Times New Roman"/>
        </w:rPr>
      </w:pPr>
      <w:r w:rsidRPr="00B24801">
        <w:rPr>
          <w:rFonts w:cs="Times New Roman"/>
        </w:rPr>
        <w:t>Comme le fait valoir l’intervenant le procureur général de l’Alberta, l’approche de la Cour d’appel [</w:t>
      </w:r>
      <w:r w:rsidRPr="00B24801">
        <w:rPr>
          <w:rFonts w:cs="Times New Roman"/>
          <w:smallCaps/>
        </w:rPr>
        <w:t>traduction</w:t>
      </w:r>
      <w:r w:rsidRPr="00B24801">
        <w:rPr>
          <w:rFonts w:cs="Times New Roman"/>
        </w:rPr>
        <w:t xml:space="preserve">] « risque de placer sous la compétence fédérale des ouvrages, des entreprises ou des activités commerciales de tiers en raison </w:t>
      </w:r>
      <w:r w:rsidRPr="00B24801">
        <w:rPr>
          <w:rFonts w:cs="Times New Roman"/>
        </w:rPr>
        <w:lastRenderedPageBreak/>
        <w:t xml:space="preserve">du lien qui existe entre leurs activités et un régime fédéral (c.-à-d., la </w:t>
      </w:r>
      <w:r w:rsidRPr="00B24801">
        <w:rPr>
          <w:rFonts w:cs="Times New Roman"/>
          <w:i/>
        </w:rPr>
        <w:t>Loi sur les grains du Canada</w:t>
      </w:r>
      <w:r w:rsidRPr="00B24801">
        <w:rPr>
          <w:rFonts w:cs="Times New Roman"/>
        </w:rPr>
        <w:t xml:space="preserve">) ou un sujet (c.-à-d., le grain) plus large » (m. </w:t>
      </w:r>
      <w:proofErr w:type="spellStart"/>
      <w:r w:rsidRPr="00B24801">
        <w:rPr>
          <w:rFonts w:cs="Times New Roman"/>
        </w:rPr>
        <w:t>interv</w:t>
      </w:r>
      <w:proofErr w:type="spellEnd"/>
      <w:r w:rsidRPr="00B24801">
        <w:rPr>
          <w:rFonts w:cs="Times New Roman"/>
        </w:rPr>
        <w:t xml:space="preserve">., par. 25). Il convient de rappeler que la compétence directe s’applique au silo lui-même et, par extension, à l’entreprise chargée de l’exploiter. Les 14 employés de SGS ne sont pas eux-mêmes exploitants des six silos qu’ils desservent, et, par conséquent, ils ne sont pas assujettis à la compétence directe découlant de l’exercice, par le Parlement, du pouvoir qui lui est conféré par l’al. 92(10)c). </w:t>
      </w:r>
    </w:p>
    <w:p w14:paraId="13F00183" w14:textId="77777777" w:rsidR="007B47A0" w:rsidRPr="00B24801" w:rsidRDefault="007B47A0" w:rsidP="007B47A0">
      <w:pPr>
        <w:pStyle w:val="ParaNoNdepar-AltN"/>
        <w:rPr>
          <w:rFonts w:cs="Times New Roman"/>
        </w:rPr>
      </w:pPr>
      <w:bookmarkStart w:id="147" w:name="_Ref242797684"/>
      <w:r w:rsidRPr="00B24801">
        <w:rPr>
          <w:rFonts w:cs="Times New Roman"/>
        </w:rPr>
        <w:t xml:space="preserve">En résumé, la compétence directe ne s’applique qu’à l’égard des entreprises qui sont elles-mêmes fédérales. Dans le contexte de l’exercice, par le Parlement, de son pouvoir déclaratoire fondé sur l’al. 92(10)c), l’analyse relative à la compétence directe doit avoir pour point de départ la déclaration, qui précise les ouvrages relevant de la compétence fédérale. L’analyse consistera ensuite à savoir si l’entreprise concernée </w:t>
      </w:r>
      <w:r w:rsidRPr="00B24801">
        <w:rPr>
          <w:rFonts w:cs="Times New Roman"/>
          <w:i/>
        </w:rPr>
        <w:t>elle-même</w:t>
      </w:r>
      <w:r w:rsidRPr="00B24801">
        <w:rPr>
          <w:rFonts w:cs="Times New Roman"/>
        </w:rPr>
        <w:t xml:space="preserve"> est fédérale du fait qu’elle assure l’exploitation d’un ouvrage fédéral.</w:t>
      </w:r>
      <w:bookmarkEnd w:id="147"/>
      <w:r w:rsidRPr="00B24801">
        <w:rPr>
          <w:rFonts w:cs="Times New Roman"/>
        </w:rPr>
        <w:t xml:space="preserve"> </w:t>
      </w:r>
    </w:p>
    <w:p w14:paraId="7976B223" w14:textId="77777777" w:rsidR="007B47A0" w:rsidRPr="00B24801" w:rsidRDefault="007B47A0" w:rsidP="007B47A0">
      <w:pPr>
        <w:pStyle w:val="Title2LevelTitre2Niveau"/>
        <w:numPr>
          <w:ilvl w:val="1"/>
          <w:numId w:val="21"/>
        </w:numPr>
        <w:jc w:val="both"/>
        <w:rPr>
          <w:rFonts w:cs="Times New Roman"/>
          <w:i w:val="0"/>
        </w:rPr>
      </w:pPr>
      <w:bookmarkStart w:id="148" w:name="_Toc242797535"/>
      <w:r w:rsidRPr="00B24801">
        <w:rPr>
          <w:rFonts w:cs="Times New Roman"/>
        </w:rPr>
        <w:t>La compétence dérivée ne s’étend qu’aux entreprises provinciales qui perdent leur identité distincte du fait de leur intégration à une entreprise fédérale</w:t>
      </w:r>
      <w:bookmarkEnd w:id="148"/>
    </w:p>
    <w:p w14:paraId="599CE7B8" w14:textId="77777777" w:rsidR="007B47A0" w:rsidRPr="00B24801" w:rsidRDefault="007B47A0" w:rsidP="007B47A0">
      <w:pPr>
        <w:pStyle w:val="ParaNoNdepar-AltN"/>
        <w:rPr>
          <w:rFonts w:cs="Times New Roman"/>
        </w:rPr>
      </w:pPr>
      <w:bookmarkStart w:id="149" w:name="_Ref244763148"/>
      <w:r w:rsidRPr="00B24801">
        <w:rPr>
          <w:rFonts w:cs="Times New Roman"/>
        </w:rPr>
        <w:t xml:space="preserve">Toutefois, même si l’existence d’une compétence directe n’est pas établie en vertu de l’al. 92(10)c), les 14 employés de SGS pourraient tout de même être assujettis aux lois fédérales du travail par l’effet d’une compétence « dérivée ». En l’espèce, la Cour supérieure et le Tribunal ont conclu que la compétence dérivée trouvait application, une conclusion que la Cour d’appel a confirmée à titre subsidiaire. </w:t>
      </w:r>
      <w:r w:rsidRPr="00B24801">
        <w:rPr>
          <w:rFonts w:cs="Times New Roman"/>
        </w:rPr>
        <w:lastRenderedPageBreak/>
        <w:t xml:space="preserve">L’appelant soutient que les tribunaux d’instance inférieure ont mal appliqué le critère de la compétence dérivée. Plus particulièrement, il soutient que « le caractère essentiel ou l’importance qualitative du service fourni pour l’entreprise fédérale » ne suffit pas, à lui seul, à établir que SGS est fonctionnellement intégrée à </w:t>
      </w:r>
      <w:proofErr w:type="spellStart"/>
      <w:r w:rsidRPr="00B24801">
        <w:rPr>
          <w:rFonts w:cs="Times New Roman"/>
        </w:rPr>
        <w:t>Viterra</w:t>
      </w:r>
      <w:proofErr w:type="spellEnd"/>
      <w:r w:rsidRPr="00B24801">
        <w:rPr>
          <w:rFonts w:cs="Times New Roman"/>
        </w:rPr>
        <w:t xml:space="preserve"> de telle sorte que les 14 employés sont assujettis à la législation fédérale sur les relations de travail (</w:t>
      </w:r>
      <w:proofErr w:type="spellStart"/>
      <w:r w:rsidRPr="00B24801">
        <w:rPr>
          <w:rFonts w:cs="Times New Roman"/>
        </w:rPr>
        <w:t>m.a</w:t>
      </w:r>
      <w:proofErr w:type="spellEnd"/>
      <w:r w:rsidRPr="00B24801">
        <w:rPr>
          <w:rFonts w:cs="Times New Roman"/>
        </w:rPr>
        <w:t>., par. 122).</w:t>
      </w:r>
      <w:bookmarkEnd w:id="149"/>
      <w:r w:rsidRPr="00B24801">
        <w:rPr>
          <w:rFonts w:cs="Times New Roman"/>
        </w:rPr>
        <w:t xml:space="preserve"> </w:t>
      </w:r>
    </w:p>
    <w:p w14:paraId="7372532F" w14:textId="77777777" w:rsidR="007B47A0" w:rsidRPr="00B24801" w:rsidRDefault="007B47A0" w:rsidP="007B47A0">
      <w:pPr>
        <w:pStyle w:val="ParaNoNdepar-AltN"/>
        <w:rPr>
          <w:rFonts w:cs="Times New Roman"/>
        </w:rPr>
      </w:pPr>
      <w:r w:rsidRPr="00B24801">
        <w:rPr>
          <w:rFonts w:cs="Times New Roman"/>
        </w:rPr>
        <w:t xml:space="preserve">Contrairement à la compétence directe, qui repose sur la question de savoir si l’entreprise en soi est fédérale parce qu’elle exploite un ouvrage fédéral, la compétence dérivée fait en sorte qu’une entreprise </w:t>
      </w:r>
      <w:r w:rsidRPr="00B24801">
        <w:rPr>
          <w:rFonts w:cs="Times New Roman"/>
          <w:i/>
        </w:rPr>
        <w:t>provinciale</w:t>
      </w:r>
      <w:r w:rsidRPr="00B24801">
        <w:rPr>
          <w:rFonts w:cs="Times New Roman"/>
        </w:rPr>
        <w:t xml:space="preserve"> relève de la compétence du Parlement lorsque sa « nature fonctionnelle essentielle » la rend « partie intégrante d’une entreprise fédérale » (</w:t>
      </w:r>
      <w:r w:rsidRPr="00B24801">
        <w:rPr>
          <w:rFonts w:cs="Times New Roman"/>
          <w:i/>
        </w:rPr>
        <w:t>Tessier</w:t>
      </w:r>
      <w:r w:rsidRPr="00B24801">
        <w:rPr>
          <w:rFonts w:cs="Times New Roman"/>
        </w:rPr>
        <w:t xml:space="preserve">, par. 18; voir aussi </w:t>
      </w:r>
      <w:r w:rsidRPr="00B24801">
        <w:rPr>
          <w:rFonts w:cs="Times New Roman"/>
          <w:i/>
        </w:rPr>
        <w:t>Central Western</w:t>
      </w:r>
      <w:r w:rsidRPr="00B24801">
        <w:rPr>
          <w:rFonts w:cs="Times New Roman"/>
        </w:rPr>
        <w:t xml:space="preserve">, p. 1125). Dans les arrêts </w:t>
      </w:r>
      <w:r w:rsidRPr="00B24801">
        <w:rPr>
          <w:rFonts w:cs="Times New Roman"/>
          <w:i/>
        </w:rPr>
        <w:t>Tessier</w:t>
      </w:r>
      <w:r w:rsidRPr="00B24801">
        <w:rPr>
          <w:rFonts w:cs="Times New Roman"/>
        </w:rPr>
        <w:t xml:space="preserve"> et </w:t>
      </w:r>
      <w:r w:rsidRPr="00B24801">
        <w:rPr>
          <w:rFonts w:cs="Times New Roman"/>
          <w:i/>
        </w:rPr>
        <w:t>Central Western</w:t>
      </w:r>
      <w:r w:rsidRPr="00B24801">
        <w:rPr>
          <w:rFonts w:cs="Times New Roman"/>
        </w:rPr>
        <w:t xml:space="preserve">, la Cour a d’abord conclu que l’entreprise en cause n’était pas en soi fédérale, pour ensuite se pencher sur la question de la compétence dérivée (voir </w:t>
      </w:r>
      <w:r w:rsidRPr="00B24801">
        <w:rPr>
          <w:rFonts w:cs="Times New Roman"/>
          <w:i/>
        </w:rPr>
        <w:t>Tessier</w:t>
      </w:r>
      <w:r w:rsidRPr="00B24801">
        <w:rPr>
          <w:rFonts w:cs="Times New Roman"/>
        </w:rPr>
        <w:t xml:space="preserve">, par. 33 et 51; </w:t>
      </w:r>
      <w:r w:rsidRPr="00B24801">
        <w:rPr>
          <w:rFonts w:cs="Times New Roman"/>
          <w:i/>
        </w:rPr>
        <w:t>Central Western</w:t>
      </w:r>
      <w:r w:rsidRPr="00B24801">
        <w:rPr>
          <w:rFonts w:cs="Times New Roman"/>
        </w:rPr>
        <w:t xml:space="preserve">, p. 1136; m. </w:t>
      </w:r>
      <w:proofErr w:type="spellStart"/>
      <w:r w:rsidRPr="00B24801">
        <w:rPr>
          <w:rFonts w:cs="Times New Roman"/>
        </w:rPr>
        <w:t>interv</w:t>
      </w:r>
      <w:proofErr w:type="spellEnd"/>
      <w:r w:rsidRPr="00B24801">
        <w:rPr>
          <w:rFonts w:cs="Times New Roman"/>
        </w:rPr>
        <w:t xml:space="preserve">., procureur général de l’Ontario, par. 20; voir aussi </w:t>
      </w:r>
      <w:r w:rsidRPr="00B24801">
        <w:rPr>
          <w:rFonts w:cs="Times New Roman"/>
          <w:i/>
        </w:rPr>
        <w:t xml:space="preserve">Total </w:t>
      </w:r>
      <w:proofErr w:type="spellStart"/>
      <w:r w:rsidRPr="00B24801">
        <w:rPr>
          <w:rFonts w:cs="Times New Roman"/>
          <w:i/>
        </w:rPr>
        <w:t>Oilfields</w:t>
      </w:r>
      <w:proofErr w:type="spellEnd"/>
      <w:r w:rsidRPr="00B24801">
        <w:rPr>
          <w:rFonts w:cs="Times New Roman"/>
          <w:i/>
        </w:rPr>
        <w:t xml:space="preserve"> </w:t>
      </w:r>
      <w:proofErr w:type="spellStart"/>
      <w:r w:rsidRPr="00B24801">
        <w:rPr>
          <w:rFonts w:cs="Times New Roman"/>
          <w:i/>
        </w:rPr>
        <w:t>Rentals</w:t>
      </w:r>
      <w:proofErr w:type="spellEnd"/>
      <w:r w:rsidRPr="00B24801">
        <w:rPr>
          <w:rFonts w:cs="Times New Roman"/>
          <w:i/>
        </w:rPr>
        <w:t xml:space="preserve"> Limited Partnership c. Canada (Attorney General)</w:t>
      </w:r>
      <w:r w:rsidRPr="00B24801">
        <w:rPr>
          <w:rFonts w:cs="Times New Roman"/>
        </w:rPr>
        <w:t xml:space="preserve">, 2014 ABCA 250, 1 Alta. L.R. (6th) 266, par. 120). La compétence dérivée, qui se rattache à des entreprises relevant par ailleurs de la compétence provinciale, représente donc une extension accrue de la compétence limitée du Parlement en matière de relations de travail. Étant donné que la compétence directe peut s’appliquer à l’égard d’entreprises fédérales visées par divers chefs de compétence fédérale — et pas uniquement par le pouvoir déclaratoire prévu à l’al. </w:t>
      </w:r>
      <w:r w:rsidRPr="00B24801">
        <w:rPr>
          <w:rFonts w:cs="Times New Roman"/>
        </w:rPr>
        <w:lastRenderedPageBreak/>
        <w:t>92(10)c) —, la compétence dérivée est susceptible d’avoir une vaste portée si on l’invoque de façon irrégulière.</w:t>
      </w:r>
    </w:p>
    <w:p w14:paraId="03EE2E02" w14:textId="77777777" w:rsidR="007B47A0" w:rsidRPr="00B24801" w:rsidRDefault="007B47A0" w:rsidP="007B47A0">
      <w:pPr>
        <w:pStyle w:val="ParaNoNdepar-AltN"/>
        <w:tabs>
          <w:tab w:val="clear" w:pos="1152"/>
          <w:tab w:val="left" w:pos="1166"/>
        </w:tabs>
        <w:rPr>
          <w:rFonts w:cs="Times New Roman"/>
        </w:rPr>
      </w:pPr>
      <w:r w:rsidRPr="00B24801">
        <w:rPr>
          <w:rFonts w:cs="Times New Roman"/>
        </w:rPr>
        <w:t xml:space="preserve">Notre Cour a appliqué le critère de la compétence dérivée dans des affaires qui mettaient en cause des entreprises provinciales fournissant des services à des entreprises fédérales au titre de l’al. 92(10)a) et d’autres chefs de compétence fédérale (voir, p. ex., </w:t>
      </w:r>
      <w:r w:rsidRPr="00B24801">
        <w:rPr>
          <w:rFonts w:cs="Times New Roman"/>
          <w:i/>
          <w:iCs/>
        </w:rPr>
        <w:t>Renvoi sur les débardeurs</w:t>
      </w:r>
      <w:r w:rsidRPr="00B24801">
        <w:rPr>
          <w:rFonts w:cs="Times New Roman"/>
        </w:rPr>
        <w:t xml:space="preserve">; </w:t>
      </w:r>
      <w:r w:rsidRPr="00B24801">
        <w:rPr>
          <w:rFonts w:cs="Times New Roman"/>
          <w:i/>
          <w:iCs/>
        </w:rPr>
        <w:t>Union des facteurs</w:t>
      </w:r>
      <w:r w:rsidRPr="00B24801">
        <w:rPr>
          <w:rFonts w:cs="Times New Roman"/>
        </w:rPr>
        <w:t xml:space="preserve">; </w:t>
      </w:r>
      <w:proofErr w:type="spellStart"/>
      <w:r w:rsidRPr="00B24801">
        <w:rPr>
          <w:rFonts w:cs="Times New Roman"/>
          <w:i/>
          <w:iCs/>
        </w:rPr>
        <w:t>Northern</w:t>
      </w:r>
      <w:proofErr w:type="spellEnd"/>
      <w:r w:rsidRPr="00B24801">
        <w:rPr>
          <w:rFonts w:cs="Times New Roman"/>
          <w:i/>
          <w:iCs/>
        </w:rPr>
        <w:t xml:space="preserve"> Telecom </w:t>
      </w:r>
      <w:r w:rsidRPr="00B24801">
        <w:rPr>
          <w:rFonts w:cs="Times New Roman"/>
          <w:iCs/>
        </w:rPr>
        <w:t>(1980)</w:t>
      </w:r>
      <w:r w:rsidRPr="00B24801">
        <w:rPr>
          <w:rFonts w:cs="Times New Roman"/>
        </w:rPr>
        <w:t xml:space="preserve">; </w:t>
      </w:r>
      <w:r w:rsidRPr="00B24801">
        <w:rPr>
          <w:rFonts w:cs="Times New Roman"/>
          <w:i/>
          <w:iCs/>
        </w:rPr>
        <w:t>Tessier</w:t>
      </w:r>
      <w:r w:rsidRPr="00B24801">
        <w:rPr>
          <w:rFonts w:cs="Times New Roman"/>
        </w:rPr>
        <w:t xml:space="preserve">). L’analyse consiste invariablement à se demander si la compétence fédérale sur une </w:t>
      </w:r>
      <w:r w:rsidRPr="00B24801">
        <w:rPr>
          <w:rFonts w:cs="Times New Roman"/>
          <w:i/>
          <w:iCs/>
        </w:rPr>
        <w:t>entreprise</w:t>
      </w:r>
      <w:r w:rsidRPr="00B24801">
        <w:rPr>
          <w:rFonts w:cs="Times New Roman"/>
        </w:rPr>
        <w:t xml:space="preserve"> fédérale peut s’étendre à une </w:t>
      </w:r>
      <w:r w:rsidRPr="00B24801">
        <w:rPr>
          <w:rFonts w:cs="Times New Roman"/>
          <w:i/>
          <w:iCs/>
        </w:rPr>
        <w:t>entreprise</w:t>
      </w:r>
      <w:r w:rsidRPr="00B24801">
        <w:rPr>
          <w:rFonts w:cs="Times New Roman"/>
        </w:rPr>
        <w:t xml:space="preserve"> provinciale en raison de l’« intégration fonctionnelle » entre les deux (</w:t>
      </w:r>
      <w:r w:rsidRPr="00B24801">
        <w:rPr>
          <w:rFonts w:cs="Times New Roman"/>
          <w:i/>
          <w:iCs/>
        </w:rPr>
        <w:t>Tessier</w:t>
      </w:r>
      <w:r w:rsidRPr="00B24801">
        <w:rPr>
          <w:rFonts w:cs="Times New Roman"/>
        </w:rPr>
        <w:t xml:space="preserve">, par. 43; </w:t>
      </w:r>
      <w:r w:rsidRPr="00B24801">
        <w:rPr>
          <w:rFonts w:cs="Times New Roman"/>
          <w:i/>
          <w:iCs/>
        </w:rPr>
        <w:t>Central Western</w:t>
      </w:r>
      <w:r w:rsidRPr="00B24801">
        <w:rPr>
          <w:rFonts w:cs="Times New Roman"/>
        </w:rPr>
        <w:t xml:space="preserve">, p. 1138). Dans le cas de SGS, qui agit comme tiers chargé de l’inspection des grains plutôt qu’à titre d’exploitante d’un silo à grains, la nature de ses activités en fait une entreprise provinciale. Elle </w:t>
      </w:r>
      <w:bookmarkStart w:id="150" w:name="_Hlk244684887"/>
      <w:r w:rsidRPr="00B24801">
        <w:rPr>
          <w:rFonts w:cs="Times New Roman"/>
        </w:rPr>
        <w:t>ne peut relever de la compétence dérivée du Parlement qu’en raison de son « intégration fonctionnelle » avec l’entreprise qui exploite le silo à grains qu’elle dessert.</w:t>
      </w:r>
      <w:bookmarkEnd w:id="150"/>
    </w:p>
    <w:p w14:paraId="6367C6FC" w14:textId="77777777" w:rsidR="007B47A0" w:rsidRPr="00B24801" w:rsidRDefault="007B47A0" w:rsidP="007B47A0">
      <w:pPr>
        <w:pStyle w:val="ParaNoNdepar-AltN"/>
        <w:rPr>
          <w:rFonts w:cs="Times New Roman"/>
        </w:rPr>
      </w:pPr>
      <w:r w:rsidRPr="00B24801">
        <w:rPr>
          <w:rFonts w:eastAsia="Times New Roman" w:cs="Times New Roman"/>
          <w:lang w:eastAsia="fr-CA"/>
        </w:rPr>
        <w:t xml:space="preserve">Rappelons que suivant le pouvoir déclaratoire en litige, tel qu’il est énoncé à l’al. </w:t>
      </w:r>
      <w:r w:rsidRPr="00B24801">
        <w:rPr>
          <w:rFonts w:cs="Times New Roman"/>
        </w:rPr>
        <w:t xml:space="preserve">92(10)c), seuls les ouvrages « entièrement situés dans la province » peuvent être « déclarés par le Parlement pour l’avantage général du Canada ». Dans le contexte d’ouvrages déclarés, le caractère exceptionnel de la compétence dérivée tient au fait qu’elle se situe à deux degrés de distance par rapport à la source première de la compétence constitutionnelle du Parlement sur l’ouvrage lui-même, tel qu’il est prévu dans le libellé même de l’al. 92(10)c). L’intervenant le procureur général de la </w:t>
      </w:r>
      <w:r w:rsidRPr="00B24801">
        <w:rPr>
          <w:rFonts w:cs="Times New Roman"/>
        </w:rPr>
        <w:lastRenderedPageBreak/>
        <w:t>Saskatchewan, décrit utilement cette forme de compétence comme étant [</w:t>
      </w:r>
      <w:r w:rsidRPr="00B24801">
        <w:rPr>
          <w:rFonts w:cs="Times New Roman"/>
          <w:smallCaps/>
        </w:rPr>
        <w:t>traduction</w:t>
      </w:r>
      <w:r w:rsidRPr="00B24801">
        <w:rPr>
          <w:rFonts w:cs="Times New Roman"/>
        </w:rPr>
        <w:t xml:space="preserve">] « doublement dérivée » (m. </w:t>
      </w:r>
      <w:proofErr w:type="spellStart"/>
      <w:r w:rsidRPr="00B24801">
        <w:rPr>
          <w:rFonts w:cs="Times New Roman"/>
        </w:rPr>
        <w:t>interv</w:t>
      </w:r>
      <w:proofErr w:type="spellEnd"/>
      <w:r w:rsidRPr="00B24801">
        <w:rPr>
          <w:rFonts w:cs="Times New Roman"/>
        </w:rPr>
        <w:t xml:space="preserve">., par. 47). </w:t>
      </w:r>
    </w:p>
    <w:p w14:paraId="1F499D99" w14:textId="77777777" w:rsidR="007B47A0" w:rsidRPr="00B24801" w:rsidRDefault="007B47A0" w:rsidP="007B47A0">
      <w:pPr>
        <w:pStyle w:val="ParaNoNdepar-AltN"/>
        <w:rPr>
          <w:rFonts w:cs="Times New Roman"/>
        </w:rPr>
      </w:pPr>
      <w:r w:rsidRPr="00B24801">
        <w:rPr>
          <w:rFonts w:cs="Times New Roman"/>
        </w:rPr>
        <w:t xml:space="preserve">La compétence dérivée ne prend naissance que s’il existe entre l’entreprise provinciale « et l’entreprise fédérale un lien fonctionnel si essentiel qu’il </w:t>
      </w:r>
      <w:proofErr w:type="spellStart"/>
      <w:r w:rsidRPr="00B24801">
        <w:rPr>
          <w:rFonts w:cs="Times New Roman"/>
        </w:rPr>
        <w:t>fai</w:t>
      </w:r>
      <w:proofErr w:type="spellEnd"/>
      <w:r w:rsidRPr="00B24801">
        <w:rPr>
          <w:rFonts w:cs="Times New Roman"/>
        </w:rPr>
        <w:t xml:space="preserve">[t] </w:t>
      </w:r>
      <w:r w:rsidRPr="00B24801">
        <w:rPr>
          <w:rFonts w:cs="Times New Roman"/>
          <w:u w:val="single"/>
        </w:rPr>
        <w:t>perdre à l’[entreprise provinciale] son caractère provincial distinct</w:t>
      </w:r>
      <w:r w:rsidRPr="00B24801">
        <w:rPr>
          <w:rFonts w:cs="Times New Roman"/>
        </w:rPr>
        <w:t xml:space="preserve"> et la </w:t>
      </w:r>
      <w:proofErr w:type="spellStart"/>
      <w:r w:rsidRPr="00B24801">
        <w:rPr>
          <w:rFonts w:cs="Times New Roman"/>
        </w:rPr>
        <w:t>fai</w:t>
      </w:r>
      <w:proofErr w:type="spellEnd"/>
      <w:r w:rsidRPr="00B24801">
        <w:rPr>
          <w:rFonts w:cs="Times New Roman"/>
        </w:rPr>
        <w:t>[t] tomber dans la sphère fédérale » (</w:t>
      </w:r>
      <w:r w:rsidRPr="00B24801">
        <w:rPr>
          <w:rFonts w:cs="Times New Roman"/>
          <w:i/>
        </w:rPr>
        <w:t>Tessier</w:t>
      </w:r>
      <w:r w:rsidRPr="00B24801">
        <w:rPr>
          <w:rFonts w:cs="Times New Roman"/>
        </w:rPr>
        <w:t xml:space="preserve">, par. 45 (je souligne); </w:t>
      </w:r>
      <w:proofErr w:type="spellStart"/>
      <w:r w:rsidRPr="00B24801">
        <w:rPr>
          <w:rFonts w:cs="Times New Roman"/>
          <w:i/>
        </w:rPr>
        <w:t>Westcoast</w:t>
      </w:r>
      <w:proofErr w:type="spellEnd"/>
      <w:r w:rsidRPr="00B24801">
        <w:rPr>
          <w:rFonts w:cs="Times New Roman"/>
          <w:i/>
        </w:rPr>
        <w:t xml:space="preserve"> Energy</w:t>
      </w:r>
      <w:r w:rsidRPr="00B24801">
        <w:rPr>
          <w:rFonts w:cs="Times New Roman"/>
        </w:rPr>
        <w:t>, par. 145). Comme l’a fait remarquer l’appelant, le procureur général du Québec, quoique la production d’électricité par Hydro-Québec soit essentielle à l’exploitation de nombreux ouvrages fédéraux, les relations de travail de cette société d’État ne sont pas assujetties à la compétence fédérale dérivée, parce que cette entreprise n’est pas fonctionnellement intégrée aux opérations d’un ouvrage fédéral. L’assujettissement d’une entité provinciale à la compétence du Parlement s’explique par le fait que ses activités sont si [</w:t>
      </w:r>
      <w:r w:rsidRPr="00B24801">
        <w:rPr>
          <w:rFonts w:cs="Times New Roman"/>
          <w:smallCaps/>
        </w:rPr>
        <w:t>traduction</w:t>
      </w:r>
      <w:r w:rsidRPr="00B24801">
        <w:rPr>
          <w:rFonts w:cs="Times New Roman"/>
        </w:rPr>
        <w:t>] « intimement liée[s] » à l’entreprise fédérale qu’elle est « essentiellement exploité[e] en tant que partie » de celle-ci (</w:t>
      </w:r>
      <w:r w:rsidRPr="00B24801">
        <w:rPr>
          <w:rFonts w:cs="Times New Roman"/>
          <w:i/>
        </w:rPr>
        <w:t>Renvoi relatif aux débardeurs</w:t>
      </w:r>
      <w:r w:rsidRPr="00B24801">
        <w:rPr>
          <w:rFonts w:cs="Times New Roman"/>
        </w:rPr>
        <w:t xml:space="preserve">, p. 535; </w:t>
      </w:r>
      <w:r w:rsidRPr="00B24801">
        <w:rPr>
          <w:rFonts w:cs="Times New Roman"/>
          <w:i/>
          <w:iCs/>
        </w:rPr>
        <w:t>Union des facteurs</w:t>
      </w:r>
      <w:r w:rsidRPr="00B24801">
        <w:rPr>
          <w:rFonts w:cs="Times New Roman"/>
        </w:rPr>
        <w:t xml:space="preserve">, p. 185; </w:t>
      </w:r>
      <w:proofErr w:type="spellStart"/>
      <w:r w:rsidRPr="00B24801">
        <w:rPr>
          <w:rFonts w:cs="Times New Roman"/>
          <w:i/>
        </w:rPr>
        <w:t>Westcoast</w:t>
      </w:r>
      <w:proofErr w:type="spellEnd"/>
      <w:r w:rsidRPr="00B24801">
        <w:rPr>
          <w:rFonts w:cs="Times New Roman"/>
          <w:i/>
        </w:rPr>
        <w:t xml:space="preserve"> Energy</w:t>
      </w:r>
      <w:r w:rsidRPr="00B24801">
        <w:rPr>
          <w:rFonts w:cs="Times New Roman"/>
        </w:rPr>
        <w:t>, par. 124).</w:t>
      </w:r>
      <w:r w:rsidRPr="00B24801">
        <w:rPr>
          <w:rFonts w:cs="Times New Roman"/>
          <w:i/>
        </w:rPr>
        <w:t xml:space="preserve"> </w:t>
      </w:r>
      <w:r w:rsidRPr="00B24801">
        <w:rPr>
          <w:rFonts w:cs="Times New Roman"/>
        </w:rPr>
        <w:t>Ni le « lien matériel » ni des « relations commerciales mutuellement avantageuses » ne suffisent (</w:t>
      </w:r>
      <w:r w:rsidRPr="00B24801">
        <w:rPr>
          <w:rFonts w:cs="Times New Roman"/>
          <w:i/>
        </w:rPr>
        <w:t>Tessier</w:t>
      </w:r>
      <w:r w:rsidRPr="00B24801">
        <w:rPr>
          <w:rFonts w:cs="Times New Roman"/>
        </w:rPr>
        <w:t xml:space="preserve">, par. 43; </w:t>
      </w:r>
      <w:r w:rsidRPr="00B24801">
        <w:rPr>
          <w:rFonts w:cs="Times New Roman"/>
          <w:i/>
        </w:rPr>
        <w:t>Central Western</w:t>
      </w:r>
      <w:r w:rsidRPr="00B24801">
        <w:rPr>
          <w:rFonts w:cs="Times New Roman"/>
        </w:rPr>
        <w:t>, p. 1147).</w:t>
      </w:r>
      <w:r w:rsidRPr="00B24801">
        <w:rPr>
          <w:rFonts w:cs="Times New Roman"/>
          <w:i/>
        </w:rPr>
        <w:t xml:space="preserve"> </w:t>
      </w:r>
      <w:r w:rsidRPr="00B24801">
        <w:rPr>
          <w:rFonts w:cs="Times New Roman"/>
        </w:rPr>
        <w:t>Un critère moins rigoureux d’« intégration fonctionnelle » — un critère qui, par exemple, insisterait indûment sur l’importance ou le caractère essentiel d’un service — entraîne inévitablement un élargissement de la compétence dérivée, étant donné qu’il s’appliquerait aux relations de travail d’un vaste éventail d’entreprises fédérales, au-delà de ce que prévoit l’al. 92(10)c).</w:t>
      </w:r>
    </w:p>
    <w:p w14:paraId="662FA735" w14:textId="77777777" w:rsidR="007B47A0" w:rsidRPr="00B24801" w:rsidRDefault="007B47A0" w:rsidP="007B47A0">
      <w:pPr>
        <w:pStyle w:val="ParaNoNdepar-AltN"/>
        <w:rPr>
          <w:rFonts w:cs="Times New Roman"/>
        </w:rPr>
      </w:pPr>
      <w:r w:rsidRPr="00B24801">
        <w:rPr>
          <w:rFonts w:cs="Times New Roman"/>
        </w:rPr>
        <w:lastRenderedPageBreak/>
        <w:t xml:space="preserve">Dans l’arrêt </w:t>
      </w:r>
      <w:proofErr w:type="spellStart"/>
      <w:r w:rsidRPr="00B24801">
        <w:rPr>
          <w:rFonts w:cs="Times New Roman"/>
          <w:i/>
        </w:rPr>
        <w:t>Northern</w:t>
      </w:r>
      <w:proofErr w:type="spellEnd"/>
      <w:r w:rsidRPr="00B24801">
        <w:rPr>
          <w:rFonts w:cs="Times New Roman"/>
          <w:i/>
        </w:rPr>
        <w:t xml:space="preserve"> Telecom </w:t>
      </w:r>
      <w:r w:rsidRPr="00B24801">
        <w:rPr>
          <w:rFonts w:cs="Times New Roman"/>
        </w:rPr>
        <w:t xml:space="preserve">(1980), le juge Dickson, plus tard juge en chef de notre Cour, </w:t>
      </w:r>
      <w:bookmarkStart w:id="151" w:name="_Hlk244678799"/>
      <w:r w:rsidRPr="00B24801">
        <w:rPr>
          <w:rFonts w:cs="Times New Roman"/>
        </w:rPr>
        <w:t xml:space="preserve">a relevé quatre facteurs qui guident l’analyse factuelle en vue d’établir la compétence dérivée : (1) la « nature générale » de l’entreprise provinciale « en tant qu’entreprise active » et le rôle de l’unité particulière d’employés fournissant des services à l’entreprise fédérale au sein même de cette entreprise; (2) la « nature du lien » entre les deux entreprises faisant affaires entre elles; (3) l’« importance du travail effectué » par les employés concernés pour l’entreprise fédérale; et (4) le « lien matériel et opérationnel » entre les deux entreprises </w:t>
      </w:r>
      <w:bookmarkEnd w:id="151"/>
      <w:r w:rsidRPr="00B24801">
        <w:rPr>
          <w:rFonts w:cs="Times New Roman"/>
        </w:rPr>
        <w:t xml:space="preserve">(p. 135). </w:t>
      </w:r>
      <w:bookmarkStart w:id="152" w:name="_Hlk244519582"/>
      <w:r w:rsidRPr="00B24801">
        <w:rPr>
          <w:rFonts w:cs="Times New Roman"/>
        </w:rPr>
        <w:t xml:space="preserve">Les deuxième et troisième facteurs semblent revêtir une importance particulière, car ils portent directement sur la question de savoir si le lien entre l’entreprise provinciale ou une unité de celle-ci peut être « qualifié de “fondamental”, d’“essentiel” ou de “vital” » pour l’entreprise fédérale (p. 132; voir aussi </w:t>
      </w:r>
      <w:proofErr w:type="spellStart"/>
      <w:r w:rsidRPr="00B24801">
        <w:rPr>
          <w:rFonts w:cs="Times New Roman"/>
          <w:i/>
        </w:rPr>
        <w:t>Northern</w:t>
      </w:r>
      <w:proofErr w:type="spellEnd"/>
      <w:r w:rsidRPr="00B24801">
        <w:rPr>
          <w:rFonts w:cs="Times New Roman"/>
          <w:i/>
        </w:rPr>
        <w:t xml:space="preserve"> Telecom </w:t>
      </w:r>
      <w:r w:rsidRPr="00B24801">
        <w:rPr>
          <w:rFonts w:cs="Times New Roman"/>
        </w:rPr>
        <w:t xml:space="preserve">(1983), </w:t>
      </w:r>
      <w:bookmarkEnd w:id="152"/>
      <w:r w:rsidRPr="00B24801">
        <w:rPr>
          <w:rFonts w:cs="Times New Roman"/>
        </w:rPr>
        <w:t xml:space="preserve">p. 754 et 770-773; </w:t>
      </w:r>
      <w:r w:rsidRPr="00B24801">
        <w:rPr>
          <w:rFonts w:cs="Times New Roman"/>
          <w:i/>
        </w:rPr>
        <w:t>Conseil canadien des relations du travail c. Paul L’Anglais Inc.</w:t>
      </w:r>
      <w:r w:rsidRPr="00B24801">
        <w:rPr>
          <w:rFonts w:cs="Times New Roman"/>
        </w:rPr>
        <w:t xml:space="preserve">, [1983] 1 R.C.S. 147, p. 166-169; </w:t>
      </w:r>
      <w:r w:rsidRPr="00B24801">
        <w:rPr>
          <w:rFonts w:cs="Times New Roman"/>
          <w:i/>
        </w:rPr>
        <w:t>R. c. Blenkhorn-Sayers Structural Steel Corp.</w:t>
      </w:r>
      <w:r w:rsidRPr="00B24801">
        <w:rPr>
          <w:rFonts w:cs="Times New Roman"/>
        </w:rPr>
        <w:t xml:space="preserve">, 2008 ONCA 789, 304 D.L.R. (4th) 498, par. 26-48). Au moyen de ces facteurs, la Cour a cherché à </w:t>
      </w:r>
      <w:bookmarkStart w:id="153" w:name="_Hlk244679315"/>
      <w:r w:rsidRPr="00B24801">
        <w:rPr>
          <w:rFonts w:cs="Times New Roman"/>
        </w:rPr>
        <w:t>donner des indications concrètes sur la façon dont une entreprise provinciale pouvait être considérée comme faisant « partie intégrante » d’une entreprise fédérale.</w:t>
      </w:r>
      <w:bookmarkEnd w:id="153"/>
      <w:r w:rsidRPr="00B24801">
        <w:rPr>
          <w:rFonts w:cs="Times New Roman"/>
        </w:rPr>
        <w:t xml:space="preserve"> Toutefois, les contributions « fondamentales », « essentielles » ou « vitales » ne peuvent être considérées, à elles seules, comme une preuve d’intégration fonctionnelle. </w:t>
      </w:r>
    </w:p>
    <w:p w14:paraId="4D2E9809" w14:textId="77777777" w:rsidR="007B47A0" w:rsidRPr="00B24801" w:rsidRDefault="007B47A0" w:rsidP="007B47A0">
      <w:pPr>
        <w:pStyle w:val="ParaNoNdepar-AltN"/>
        <w:tabs>
          <w:tab w:val="clear" w:pos="1152"/>
          <w:tab w:val="left" w:pos="1166"/>
        </w:tabs>
        <w:rPr>
          <w:rFonts w:cs="Times New Roman"/>
        </w:rPr>
      </w:pPr>
      <w:r w:rsidRPr="00B24801">
        <w:rPr>
          <w:rFonts w:cs="Times New Roman"/>
        </w:rPr>
        <w:t>Il est vrai que l’entreprise fédérale doit dépendre « dans une mesure importante » des services fournis par l’entreprise provinciale (</w:t>
      </w:r>
      <w:r w:rsidRPr="00B24801">
        <w:rPr>
          <w:rFonts w:cs="Times New Roman"/>
          <w:i/>
        </w:rPr>
        <w:t>Tessier</w:t>
      </w:r>
      <w:r w:rsidRPr="00B24801">
        <w:rPr>
          <w:rFonts w:cs="Times New Roman"/>
        </w:rPr>
        <w:t xml:space="preserve">, par. 32 et 46; voir aussi </w:t>
      </w:r>
      <w:r w:rsidRPr="00B24801">
        <w:rPr>
          <w:rFonts w:cs="Times New Roman"/>
          <w:i/>
        </w:rPr>
        <w:t>Central Western</w:t>
      </w:r>
      <w:r w:rsidRPr="00B24801">
        <w:rPr>
          <w:rFonts w:cs="Times New Roman"/>
        </w:rPr>
        <w:t xml:space="preserve">, p. 1142). Par conséquent, « une société dont les relations </w:t>
      </w:r>
      <w:r w:rsidRPr="00B24801">
        <w:rPr>
          <w:rFonts w:cs="Times New Roman"/>
        </w:rPr>
        <w:lastRenderedPageBreak/>
        <w:t>de travail seraient normalement régies par les lois provinciales pourrait néanmoins relever de la compétence fédérale si l’entreprise fédérale qui fait appel à ses services ne pouvait s’acquitter efficacement de ses activités sans elle » (</w:t>
      </w:r>
      <w:r w:rsidRPr="00B24801">
        <w:rPr>
          <w:rFonts w:cs="Times New Roman"/>
          <w:i/>
        </w:rPr>
        <w:t>Tessier</w:t>
      </w:r>
      <w:r w:rsidRPr="00B24801">
        <w:rPr>
          <w:rFonts w:cs="Times New Roman"/>
        </w:rPr>
        <w:t xml:space="preserve">, par. 32). S’inspirant de l’arrêt </w:t>
      </w:r>
      <w:r w:rsidRPr="00B24801">
        <w:rPr>
          <w:rFonts w:cs="Times New Roman"/>
          <w:i/>
        </w:rPr>
        <w:t>Central Western</w:t>
      </w:r>
      <w:r w:rsidRPr="00B24801">
        <w:rPr>
          <w:rFonts w:cs="Times New Roman"/>
        </w:rPr>
        <w:t xml:space="preserve"> et du </w:t>
      </w:r>
      <w:r w:rsidRPr="00B24801">
        <w:rPr>
          <w:rFonts w:cs="Times New Roman"/>
          <w:i/>
          <w:iCs/>
        </w:rPr>
        <w:t>Renvoi relatif aux débardeurs</w:t>
      </w:r>
      <w:r w:rsidRPr="00B24801">
        <w:rPr>
          <w:rFonts w:cs="Times New Roman"/>
        </w:rPr>
        <w:t>, la juge Abella a utilement reformulé le critère concernant l’intégration fonctionnelle en précisant que l’analyse doit être effectuée suivant deux points de vue : celui de l’entreprise fédérale et celui de l’entreprise provinciale qui lui fournit des services (</w:t>
      </w:r>
      <w:r w:rsidRPr="00B24801">
        <w:rPr>
          <w:rFonts w:cs="Times New Roman"/>
          <w:i/>
        </w:rPr>
        <w:t>Tessier</w:t>
      </w:r>
      <w:r w:rsidRPr="00B24801">
        <w:rPr>
          <w:rFonts w:cs="Times New Roman"/>
        </w:rPr>
        <w:t xml:space="preserve">, par. 46). L’intégration doit ne faire aucun doute de part et d’autre. Les facteurs relevés dans </w:t>
      </w:r>
      <w:proofErr w:type="spellStart"/>
      <w:r w:rsidRPr="00B24801">
        <w:rPr>
          <w:rFonts w:cs="Times New Roman"/>
          <w:i/>
        </w:rPr>
        <w:t>Northern</w:t>
      </w:r>
      <w:proofErr w:type="spellEnd"/>
      <w:r w:rsidRPr="00B24801">
        <w:rPr>
          <w:rFonts w:cs="Times New Roman"/>
          <w:i/>
        </w:rPr>
        <w:t xml:space="preserve"> Telecom (1980)</w:t>
      </w:r>
      <w:r w:rsidRPr="00B24801">
        <w:rPr>
          <w:rFonts w:cs="Times New Roman"/>
        </w:rPr>
        <w:t xml:space="preserve"> demeurent pertinents, mais </w:t>
      </w:r>
      <w:bookmarkStart w:id="154" w:name="_Hlk244679687"/>
      <w:r w:rsidRPr="00B24801">
        <w:rPr>
          <w:rFonts w:cs="Times New Roman"/>
        </w:rPr>
        <w:t>il est préférable de les comprendre</w:t>
      </w:r>
      <w:bookmarkEnd w:id="154"/>
      <w:r w:rsidRPr="00B24801">
        <w:rPr>
          <w:rFonts w:cs="Times New Roman"/>
        </w:rPr>
        <w:t xml:space="preserve"> sous les deux angles énoncés dans l’arrêt </w:t>
      </w:r>
      <w:r w:rsidRPr="00B24801">
        <w:rPr>
          <w:rFonts w:cs="Times New Roman"/>
          <w:i/>
          <w:iCs/>
        </w:rPr>
        <w:t>Tessier</w:t>
      </w:r>
      <w:r w:rsidRPr="00B24801">
        <w:rPr>
          <w:rFonts w:cs="Times New Roman"/>
        </w:rPr>
        <w:t>, qui établit que [</w:t>
      </w:r>
      <w:r w:rsidRPr="00B24801">
        <w:rPr>
          <w:rFonts w:cs="Times New Roman"/>
          <w:smallCaps/>
        </w:rPr>
        <w:t>traduction</w:t>
      </w:r>
      <w:r w:rsidRPr="00B24801">
        <w:rPr>
          <w:rFonts w:cs="Times New Roman"/>
        </w:rPr>
        <w:t>] « l’“intégralité” va dans deux directions » (V. MacDonnell, « </w:t>
      </w:r>
      <w:proofErr w:type="spellStart"/>
      <w:r w:rsidRPr="00B24801">
        <w:rPr>
          <w:rFonts w:cs="Times New Roman"/>
          <w:iCs/>
        </w:rPr>
        <w:t>Developments</w:t>
      </w:r>
      <w:proofErr w:type="spellEnd"/>
      <w:r w:rsidRPr="00B24801">
        <w:rPr>
          <w:rFonts w:cs="Times New Roman"/>
          <w:iCs/>
        </w:rPr>
        <w:t xml:space="preserve"> in </w:t>
      </w:r>
      <w:proofErr w:type="spellStart"/>
      <w:r w:rsidRPr="00B24801">
        <w:rPr>
          <w:rFonts w:cs="Times New Roman"/>
          <w:iCs/>
        </w:rPr>
        <w:t>Constitutional</w:t>
      </w:r>
      <w:proofErr w:type="spellEnd"/>
      <w:r w:rsidRPr="00B24801">
        <w:rPr>
          <w:rFonts w:cs="Times New Roman"/>
          <w:iCs/>
        </w:rPr>
        <w:t xml:space="preserve"> Law : The 2011-2012 </w:t>
      </w:r>
      <w:proofErr w:type="spellStart"/>
      <w:r w:rsidRPr="00B24801">
        <w:rPr>
          <w:rFonts w:cs="Times New Roman"/>
          <w:iCs/>
        </w:rPr>
        <w:t>Term</w:t>
      </w:r>
      <w:proofErr w:type="spellEnd"/>
      <w:r w:rsidRPr="00B24801">
        <w:rPr>
          <w:rFonts w:cs="Times New Roman"/>
          <w:iCs/>
        </w:rPr>
        <w:t> »</w:t>
      </w:r>
      <w:r w:rsidRPr="00B24801">
        <w:rPr>
          <w:rFonts w:cs="Times New Roman"/>
        </w:rPr>
        <w:t xml:space="preserve"> (2012), 59 </w:t>
      </w:r>
      <w:r w:rsidRPr="00B24801">
        <w:rPr>
          <w:rFonts w:cs="Times New Roman"/>
          <w:i/>
        </w:rPr>
        <w:t>S.C.L.R.</w:t>
      </w:r>
      <w:r w:rsidRPr="00B24801">
        <w:rPr>
          <w:rFonts w:cs="Times New Roman"/>
        </w:rPr>
        <w:t xml:space="preserve"> (2d) 51, p. 73).</w:t>
      </w:r>
    </w:p>
    <w:p w14:paraId="0F8B6DCF" w14:textId="77777777" w:rsidR="007B47A0" w:rsidRPr="00B24801" w:rsidRDefault="007B47A0" w:rsidP="007B47A0">
      <w:pPr>
        <w:pStyle w:val="ParaNoNdepar-AltN"/>
        <w:rPr>
          <w:rFonts w:cs="Times New Roman"/>
        </w:rPr>
      </w:pPr>
      <w:r w:rsidRPr="00B24801">
        <w:rPr>
          <w:rFonts w:cs="Times New Roman"/>
        </w:rPr>
        <w:t xml:space="preserve">Il convient de souligner que l’arrêt </w:t>
      </w:r>
      <w:r w:rsidRPr="00B24801">
        <w:rPr>
          <w:rFonts w:cs="Times New Roman"/>
          <w:i/>
        </w:rPr>
        <w:t xml:space="preserve">Tessier </w:t>
      </w:r>
      <w:r w:rsidRPr="00B24801">
        <w:rPr>
          <w:rFonts w:cs="Times New Roman"/>
        </w:rPr>
        <w:t>n’est utile pour établir le critère de la compétence dérivée que parce qu’il portait sur l’extension de la compétence fédérale tirée d’une entreprise fédérale à une entreprise provinciale en vertu de l’al. 92(10)a). L’analyse ne portait pas uniquement sur les activités intégrées d’un ouvrage déclaré à l’avantage général du Canada. Comme le soutient l’appelant, bien qu’il soit possible d’effectuer l’analyse de la compétence dérivée avec souplesse, ce n’est pas « </w:t>
      </w:r>
      <w:r w:rsidRPr="00B24801">
        <w:rPr>
          <w:rFonts w:cs="Times New Roman"/>
          <w:lang w:bidi="en-US"/>
        </w:rPr>
        <w:t>une invitation à écarter certains facteurs de l’analyse afin de rendre la démonstration plus facile » (</w:t>
      </w:r>
      <w:proofErr w:type="spellStart"/>
      <w:r w:rsidRPr="00B24801">
        <w:rPr>
          <w:rFonts w:cs="Times New Roman"/>
          <w:lang w:bidi="en-US"/>
        </w:rPr>
        <w:t>m.a</w:t>
      </w:r>
      <w:proofErr w:type="spellEnd"/>
      <w:r w:rsidRPr="00B24801">
        <w:rPr>
          <w:rFonts w:cs="Times New Roman"/>
          <w:lang w:bidi="en-US"/>
        </w:rPr>
        <w:t>., par. 112).</w:t>
      </w:r>
      <w:r w:rsidRPr="00B24801">
        <w:rPr>
          <w:rFonts w:cs="Times New Roman"/>
        </w:rPr>
        <w:t xml:space="preserve"> </w:t>
      </w:r>
    </w:p>
    <w:p w14:paraId="73005E2F" w14:textId="77777777" w:rsidR="007B47A0" w:rsidRPr="00B24801" w:rsidRDefault="007B47A0" w:rsidP="007B47A0">
      <w:pPr>
        <w:pStyle w:val="ParaNoNdepar-AltN"/>
        <w:rPr>
          <w:rFonts w:cs="Times New Roman"/>
        </w:rPr>
      </w:pPr>
      <w:r w:rsidRPr="00B24801">
        <w:rPr>
          <w:rFonts w:cs="Times New Roman"/>
        </w:rPr>
        <w:lastRenderedPageBreak/>
        <w:t>En l’espèce, la compétence fédérale découle d’abord de la déclaration du Parlement concernant les silos à grains. Cette compétence s’étend à l’</w:t>
      </w:r>
      <w:r w:rsidRPr="00B24801">
        <w:rPr>
          <w:rFonts w:cs="Times New Roman"/>
          <w:i/>
        </w:rPr>
        <w:t>entreprise</w:t>
      </w:r>
      <w:r w:rsidRPr="00B24801">
        <w:rPr>
          <w:rFonts w:cs="Times New Roman"/>
        </w:rPr>
        <w:t xml:space="preserve"> qui exploite un silo à grains afin de permettre au Parlement de réglementer « l’ouvrage envisagé sous son angle fonctionnel » (</w:t>
      </w:r>
      <w:r w:rsidRPr="00B24801">
        <w:rPr>
          <w:rFonts w:cs="Times New Roman"/>
          <w:i/>
        </w:rPr>
        <w:t>Ontario Hydro</w:t>
      </w:r>
      <w:r w:rsidRPr="00B24801">
        <w:rPr>
          <w:rFonts w:cs="Times New Roman"/>
        </w:rPr>
        <w:t>, p. 349 et 363). Les relations de travail de cette entreprise relèvent ainsi de la « compétence directe ». La compétence dérivée, en revanche, repose sur l’existence d’un lien entre deux entreprises — en l’occurrence, SGS et l’exploitant du silo à grains — plutôt qu’entre une entreprise et un ouvrage, c’est-à-dire entre SGS et le silo à grains directement.</w:t>
      </w:r>
    </w:p>
    <w:p w14:paraId="702A35EB" w14:textId="77777777" w:rsidR="007B47A0" w:rsidRPr="00B24801" w:rsidRDefault="007B47A0" w:rsidP="007B47A0">
      <w:pPr>
        <w:pStyle w:val="ParaNoNdepar-AltN"/>
        <w:rPr>
          <w:rFonts w:cs="Times New Roman"/>
        </w:rPr>
      </w:pPr>
      <w:r w:rsidRPr="00B24801">
        <w:rPr>
          <w:rFonts w:cs="Times New Roman"/>
        </w:rPr>
        <w:t>L’importance d’un service n’établit pas à elle seule l’intégration fonctionnelle. Il faut aussi examiner la question du point de vue de l’entreprise provinciale, en s’attachant à savoir si celle-ci demeure distincte de l’entreprise fédérale. Les services fournis doivent revêtir de « l’importance » pour l’entreprise provinciale et constituer une part significative de son « entreprise globale » (</w:t>
      </w:r>
      <w:r w:rsidRPr="00B24801">
        <w:rPr>
          <w:rFonts w:cs="Times New Roman"/>
          <w:i/>
        </w:rPr>
        <w:t>Tessier</w:t>
      </w:r>
      <w:r w:rsidRPr="00B24801">
        <w:rPr>
          <w:rFonts w:cs="Times New Roman"/>
        </w:rPr>
        <w:t xml:space="preserve">, par. 46 et 58-59). Par exemple, dans le </w:t>
      </w:r>
      <w:r w:rsidRPr="00B24801">
        <w:rPr>
          <w:rFonts w:cs="Times New Roman"/>
          <w:i/>
        </w:rPr>
        <w:t>Renvoi relatif aux débardeurs</w:t>
      </w:r>
      <w:r w:rsidRPr="00B24801">
        <w:rPr>
          <w:rFonts w:cs="Times New Roman"/>
        </w:rPr>
        <w:t xml:space="preserve">, la société de débardage fournissait exclusivement ses services aux entreprises de transport maritime fédérales (p. 543). Dans l’arrêt </w:t>
      </w:r>
      <w:r w:rsidRPr="00B24801">
        <w:rPr>
          <w:rFonts w:cs="Times New Roman"/>
          <w:i/>
          <w:iCs/>
        </w:rPr>
        <w:t>Union des facteurs</w:t>
      </w:r>
      <w:r w:rsidRPr="00B24801">
        <w:rPr>
          <w:rFonts w:cs="Times New Roman"/>
        </w:rPr>
        <w:t>, cette proportion représentait 90 p. 100 de l’ensemble des activités de l’entreprise (p. 188). Bien qu’il « n’existe pas de critère simple et décisif » (</w:t>
      </w:r>
      <w:r w:rsidRPr="00B24801">
        <w:rPr>
          <w:rFonts w:cs="Times New Roman"/>
          <w:i/>
        </w:rPr>
        <w:t>Tessier</w:t>
      </w:r>
      <w:r w:rsidRPr="00B24801">
        <w:rPr>
          <w:rFonts w:cs="Times New Roman"/>
        </w:rPr>
        <w:t>, par. 45), et que les critères ne soient pas censés « être appliqués d’une manière stricte ou rigide » (</w:t>
      </w:r>
      <w:r w:rsidRPr="00B24801">
        <w:rPr>
          <w:rFonts w:cs="Times New Roman"/>
          <w:i/>
        </w:rPr>
        <w:t>Central Western</w:t>
      </w:r>
      <w:r w:rsidRPr="00B24801">
        <w:rPr>
          <w:rFonts w:cs="Times New Roman"/>
        </w:rPr>
        <w:t>, p. 1139-1140), le juge Dickson a mentionné qu’une part de 80 p. 100 était « très près de la ligne de démarcation entre les compétences fédérale et provinciale » (</w:t>
      </w:r>
      <w:proofErr w:type="spellStart"/>
      <w:r w:rsidRPr="00B24801">
        <w:rPr>
          <w:rFonts w:cs="Times New Roman"/>
          <w:i/>
        </w:rPr>
        <w:t>Northern</w:t>
      </w:r>
      <w:proofErr w:type="spellEnd"/>
      <w:r w:rsidRPr="00B24801">
        <w:rPr>
          <w:rFonts w:cs="Times New Roman"/>
          <w:i/>
        </w:rPr>
        <w:t xml:space="preserve"> Telecom </w:t>
      </w:r>
      <w:r w:rsidRPr="00B24801">
        <w:rPr>
          <w:rFonts w:cs="Times New Roman"/>
        </w:rPr>
        <w:t>(1983),</w:t>
      </w:r>
      <w:r w:rsidRPr="00B24801">
        <w:rPr>
          <w:rFonts w:cs="Times New Roman"/>
          <w:i/>
        </w:rPr>
        <w:t xml:space="preserve"> </w:t>
      </w:r>
      <w:r w:rsidRPr="00B24801">
        <w:rPr>
          <w:rFonts w:cs="Times New Roman"/>
        </w:rPr>
        <w:t xml:space="preserve">p. 774). Non seulement les services doivent-ils constituer les « activités normales ou </w:t>
      </w:r>
      <w:r w:rsidRPr="00B24801">
        <w:rPr>
          <w:rFonts w:cs="Times New Roman"/>
        </w:rPr>
        <w:lastRenderedPageBreak/>
        <w:t>habituelles » de l’entreprise provinciale (</w:t>
      </w:r>
      <w:proofErr w:type="spellStart"/>
      <w:r w:rsidRPr="00B24801">
        <w:rPr>
          <w:rFonts w:cs="Times New Roman"/>
          <w:i/>
        </w:rPr>
        <w:t>Northern</w:t>
      </w:r>
      <w:proofErr w:type="spellEnd"/>
      <w:r w:rsidRPr="00B24801">
        <w:rPr>
          <w:rFonts w:cs="Times New Roman"/>
          <w:i/>
        </w:rPr>
        <w:t xml:space="preserve"> Telecom </w:t>
      </w:r>
      <w:r w:rsidRPr="00B24801">
        <w:rPr>
          <w:rFonts w:cs="Times New Roman"/>
        </w:rPr>
        <w:t xml:space="preserve">(1980), p. 132; </w:t>
      </w:r>
      <w:r w:rsidRPr="00B24801">
        <w:rPr>
          <w:rFonts w:cs="Times New Roman"/>
          <w:i/>
        </w:rPr>
        <w:t>Construction Montcalm</w:t>
      </w:r>
      <w:r w:rsidRPr="00B24801">
        <w:rPr>
          <w:rFonts w:cs="Times New Roman"/>
        </w:rPr>
        <w:t>, p. 769), mais ils doivent aussi constituer « la majeure partie » de l’ensemble des activités de l’entreprise (</w:t>
      </w:r>
      <w:r w:rsidRPr="00B24801">
        <w:rPr>
          <w:rFonts w:cs="Times New Roman"/>
          <w:i/>
        </w:rPr>
        <w:t>Tessier</w:t>
      </w:r>
      <w:r w:rsidRPr="00B24801">
        <w:rPr>
          <w:rFonts w:cs="Times New Roman"/>
        </w:rPr>
        <w:t xml:space="preserve">, par. 42 et 54; </w:t>
      </w:r>
      <w:proofErr w:type="spellStart"/>
      <w:r w:rsidRPr="00B24801">
        <w:rPr>
          <w:rFonts w:cs="Times New Roman"/>
          <w:i/>
        </w:rPr>
        <w:t>Northern</w:t>
      </w:r>
      <w:proofErr w:type="spellEnd"/>
      <w:r w:rsidRPr="00B24801">
        <w:rPr>
          <w:rFonts w:cs="Times New Roman"/>
          <w:i/>
        </w:rPr>
        <w:t xml:space="preserve"> Telecom </w:t>
      </w:r>
      <w:r w:rsidRPr="00B24801">
        <w:rPr>
          <w:rFonts w:cs="Times New Roman"/>
        </w:rPr>
        <w:t>(1983), p. 771).</w:t>
      </w:r>
    </w:p>
    <w:p w14:paraId="1E637A86" w14:textId="77777777" w:rsidR="007B47A0" w:rsidRPr="00B24801" w:rsidRDefault="007B47A0" w:rsidP="007B47A0">
      <w:pPr>
        <w:pStyle w:val="ParaNoNdepar-AltN"/>
        <w:rPr>
          <w:rFonts w:cs="Times New Roman"/>
        </w:rPr>
      </w:pPr>
      <w:bookmarkStart w:id="155" w:name="_Hlk233495144"/>
      <w:r w:rsidRPr="00B24801">
        <w:rPr>
          <w:rFonts w:cs="Times New Roman"/>
        </w:rPr>
        <w:t xml:space="preserve">Ce n’est que lorsque les conditions nécessaires sont établies selon les </w:t>
      </w:r>
      <w:r w:rsidRPr="00B24801">
        <w:rPr>
          <w:rFonts w:cs="Times New Roman"/>
          <w:i/>
        </w:rPr>
        <w:t>deux</w:t>
      </w:r>
      <w:r w:rsidRPr="00B24801">
        <w:rPr>
          <w:rFonts w:cs="Times New Roman"/>
        </w:rPr>
        <w:t xml:space="preserve"> points de vue que l’entreprise provinciale peut être considérée fonctionnellement intégrée à l’entreprise qu’elle dessert (voir </w:t>
      </w:r>
      <w:r w:rsidRPr="00B24801">
        <w:rPr>
          <w:rFonts w:cs="Times New Roman"/>
          <w:i/>
        </w:rPr>
        <w:t xml:space="preserve">L-3 Communications Mapps </w:t>
      </w:r>
      <w:proofErr w:type="spellStart"/>
      <w:r w:rsidRPr="00B24801">
        <w:rPr>
          <w:rFonts w:cs="Times New Roman"/>
          <w:i/>
        </w:rPr>
        <w:t>inc.</w:t>
      </w:r>
      <w:proofErr w:type="spellEnd"/>
      <w:r w:rsidRPr="00B24801">
        <w:rPr>
          <w:rFonts w:cs="Times New Roman"/>
          <w:i/>
        </w:rPr>
        <w:t xml:space="preserve"> c. Commission de la santé et de la sécurité du travail</w:t>
      </w:r>
      <w:r w:rsidRPr="00B24801">
        <w:rPr>
          <w:rFonts w:cs="Times New Roman"/>
        </w:rPr>
        <w:t xml:space="preserve">, 2014 QCCA 277, par. 36; </w:t>
      </w:r>
      <w:r w:rsidRPr="00B24801">
        <w:rPr>
          <w:rFonts w:cs="Times New Roman"/>
          <w:i/>
        </w:rPr>
        <w:t>Tessier</w:t>
      </w:r>
      <w:r w:rsidRPr="00B24801">
        <w:rPr>
          <w:rFonts w:cs="Times New Roman"/>
        </w:rPr>
        <w:t xml:space="preserve">, par. 48-58). Dans de telles circonstances, la dépendance de l’entreprise fédérale envers l’entreprise provinciale, combinée au caractère prédominant de ces services pour l’entreprise provinciale dans son ensemble, fait en sorte que les deux entreprises fonctionnent effectivement comme une unique entreprise (voir, p. ex., </w:t>
      </w:r>
      <w:proofErr w:type="spellStart"/>
      <w:r w:rsidRPr="00B24801">
        <w:rPr>
          <w:rFonts w:cs="Times New Roman"/>
          <w:i/>
        </w:rPr>
        <w:t>Ramkey</w:t>
      </w:r>
      <w:proofErr w:type="spellEnd"/>
      <w:r w:rsidRPr="00B24801">
        <w:rPr>
          <w:rFonts w:cs="Times New Roman"/>
          <w:i/>
        </w:rPr>
        <w:t xml:space="preserve"> Communications Inc. c. </w:t>
      </w:r>
      <w:proofErr w:type="spellStart"/>
      <w:r w:rsidRPr="00B24801">
        <w:rPr>
          <w:rFonts w:cs="Times New Roman"/>
          <w:i/>
        </w:rPr>
        <w:t>Labourers</w:t>
      </w:r>
      <w:proofErr w:type="spellEnd"/>
      <w:r w:rsidRPr="00B24801">
        <w:rPr>
          <w:rFonts w:cs="Times New Roman"/>
          <w:i/>
        </w:rPr>
        <w:t>’ International Union of North America</w:t>
      </w:r>
      <w:r w:rsidRPr="00B24801">
        <w:rPr>
          <w:rFonts w:cs="Times New Roman"/>
        </w:rPr>
        <w:t>, 2019 ONCA 859, 149 O.R. (3d) 1, par. 62-67). Autrement dit, les deux entreprises sont interdépendantes, si bien que la pérennité de l’une est remise en question si les opérations de l’autre cessent ou sont perturbées de façon importante. Les considérations soulignées dans d’autres arrêts « respectent assez facilement ce cadre conceptuel » de l’intégration fonctionnelle (</w:t>
      </w:r>
      <w:proofErr w:type="spellStart"/>
      <w:r w:rsidRPr="00B24801">
        <w:rPr>
          <w:rFonts w:cs="Times New Roman"/>
          <w:i/>
        </w:rPr>
        <w:t>Westcoast</w:t>
      </w:r>
      <w:proofErr w:type="spellEnd"/>
      <w:r w:rsidRPr="00B24801">
        <w:rPr>
          <w:rFonts w:cs="Times New Roman"/>
          <w:i/>
        </w:rPr>
        <w:t xml:space="preserve"> Energy</w:t>
      </w:r>
      <w:r w:rsidRPr="00B24801">
        <w:rPr>
          <w:rFonts w:cs="Times New Roman"/>
        </w:rPr>
        <w:t>, par. 125). Par exemple, l’existence d’un « lien matériel et opérationnel » étroit entre les deux entreprises a déjà été considérée comme un indicateur d’intégration fonctionnelle (</w:t>
      </w:r>
      <w:proofErr w:type="spellStart"/>
      <w:r w:rsidRPr="00B24801">
        <w:rPr>
          <w:rFonts w:cs="Times New Roman"/>
          <w:i/>
        </w:rPr>
        <w:t>Northern</w:t>
      </w:r>
      <w:proofErr w:type="spellEnd"/>
      <w:r w:rsidRPr="00B24801">
        <w:rPr>
          <w:rFonts w:cs="Times New Roman"/>
          <w:i/>
        </w:rPr>
        <w:t xml:space="preserve"> Telecom </w:t>
      </w:r>
      <w:r w:rsidRPr="00B24801">
        <w:rPr>
          <w:rFonts w:cs="Times New Roman"/>
        </w:rPr>
        <w:t>(1980), p. 135).</w:t>
      </w:r>
    </w:p>
    <w:p w14:paraId="69602DC9" w14:textId="77777777" w:rsidR="007B47A0" w:rsidRPr="00B24801" w:rsidRDefault="007B47A0" w:rsidP="007B47A0">
      <w:pPr>
        <w:pStyle w:val="ParaNoNdepar-AltN"/>
        <w:rPr>
          <w:rFonts w:cs="Times New Roman"/>
        </w:rPr>
      </w:pPr>
      <w:r w:rsidRPr="00B24801">
        <w:rPr>
          <w:rFonts w:cs="Times New Roman"/>
        </w:rPr>
        <w:lastRenderedPageBreak/>
        <w:t xml:space="preserve">Dans le présent pourvoi, l’analyse est centrée sur la perspective de </w:t>
      </w:r>
      <w:proofErr w:type="spellStart"/>
      <w:r w:rsidRPr="00B24801">
        <w:rPr>
          <w:rFonts w:cs="Times New Roman"/>
        </w:rPr>
        <w:t>Viterra</w:t>
      </w:r>
      <w:proofErr w:type="spellEnd"/>
      <w:r w:rsidRPr="00B24801">
        <w:rPr>
          <w:rFonts w:cs="Times New Roman"/>
        </w:rPr>
        <w:t xml:space="preserve">, l’entreprise fédérale, et sur celui de SGS, l’entreprise provinciale. Une tierce partie comme SGS, qui a notamment pour objet commercial de fournir aux acheteurs internationaux une vérification indépendante de la qualité du grain, conserve nécessairement une certaine indépendance par rapport aux silos à grains qu’elle dessert. Cet état de fait milite contre une conclusion d’intégration fonctionnelle, malgré l’importance de la contribution de SGS : « [i]l faut davantage, à savoir une intégration fonctionnelle telle que le caractère dominant de l’ouvrage ou de l’entreprise de nature locale </w:t>
      </w:r>
      <w:r w:rsidRPr="00B24801">
        <w:rPr>
          <w:rFonts w:cs="Times New Roman"/>
          <w:u w:val="single"/>
        </w:rPr>
        <w:t>devienne celui</w:t>
      </w:r>
      <w:r w:rsidRPr="00B24801">
        <w:rPr>
          <w:rFonts w:cs="Times New Roman"/>
        </w:rPr>
        <w:t xml:space="preserve"> de » l’entreprise fédérale (</w:t>
      </w:r>
      <w:proofErr w:type="spellStart"/>
      <w:r w:rsidRPr="00B24801">
        <w:rPr>
          <w:rFonts w:cs="Times New Roman"/>
          <w:i/>
        </w:rPr>
        <w:t>Westcoast</w:t>
      </w:r>
      <w:proofErr w:type="spellEnd"/>
      <w:r w:rsidRPr="00B24801">
        <w:rPr>
          <w:rFonts w:cs="Times New Roman"/>
          <w:i/>
        </w:rPr>
        <w:t xml:space="preserve"> Energy</w:t>
      </w:r>
      <w:r w:rsidRPr="00B24801">
        <w:rPr>
          <w:rFonts w:cs="Times New Roman"/>
        </w:rPr>
        <w:t xml:space="preserve">, par. 159 (je souligne); voir aussi </w:t>
      </w:r>
      <w:r w:rsidRPr="00B24801">
        <w:rPr>
          <w:rFonts w:cs="Times New Roman"/>
          <w:i/>
        </w:rPr>
        <w:t>Central Western</w:t>
      </w:r>
      <w:r w:rsidRPr="00B24801">
        <w:rPr>
          <w:rFonts w:cs="Times New Roman"/>
        </w:rPr>
        <w:t>, p. 1144).</w:t>
      </w:r>
      <w:r w:rsidRPr="00B24801">
        <w:rPr>
          <w:rFonts w:cs="Times New Roman"/>
          <w:sz w:val="22"/>
        </w:rPr>
        <w:t xml:space="preserve"> </w:t>
      </w:r>
      <w:r w:rsidRPr="00B24801">
        <w:rPr>
          <w:rFonts w:cs="Times New Roman"/>
        </w:rPr>
        <w:t xml:space="preserve">Il est difficile de soutenir, d’une part, que SGS est si étroitement intégrée à </w:t>
      </w:r>
      <w:proofErr w:type="spellStart"/>
      <w:r w:rsidRPr="00B24801">
        <w:rPr>
          <w:rFonts w:cs="Times New Roman"/>
        </w:rPr>
        <w:t>Viterra</w:t>
      </w:r>
      <w:proofErr w:type="spellEnd"/>
      <w:r w:rsidRPr="00B24801">
        <w:rPr>
          <w:rFonts w:cs="Times New Roman"/>
        </w:rPr>
        <w:t xml:space="preserve"> sur le plan fonctionnel que l’extension de la compétence fédérale se justifie, tout en affirmant, d’autre part, qu’elle reste néanmoins suffisamment indépendante pour délivrer, comme l’a conclu le Tribunal, des certificats d’inspection objectifs à des fins commerciales en tant que tierce partie (motifs du T.A.T., par. 32, 42, 46 et 80-81).</w:t>
      </w:r>
    </w:p>
    <w:p w14:paraId="29C96052" w14:textId="77777777" w:rsidR="007B47A0" w:rsidRPr="00B24801" w:rsidRDefault="007B47A0" w:rsidP="007B47A0">
      <w:pPr>
        <w:pStyle w:val="ParaNoNdepar-AltN"/>
        <w:rPr>
          <w:rFonts w:cs="Times New Roman"/>
        </w:rPr>
      </w:pPr>
      <w:r w:rsidRPr="00B24801">
        <w:rPr>
          <w:rFonts w:cs="Times New Roman"/>
        </w:rPr>
        <w:t xml:space="preserve">En insistant sur le caractère essentiel d’un service fourni à l’entreprise fédérale pour établir l’intégration fonctionnelle, SGS traite à tort la contribution « importante » ou « essentielle » des inspecteurs des grains à l’entreprise fédérale comme si elle était synonyme d’« intégration fonctionnelle », contrairement aux directives du juge en chef Dickson dans </w:t>
      </w:r>
      <w:r w:rsidRPr="00B24801">
        <w:rPr>
          <w:rFonts w:cs="Times New Roman"/>
          <w:i/>
        </w:rPr>
        <w:t>Central Western</w:t>
      </w:r>
      <w:r w:rsidRPr="00B24801">
        <w:rPr>
          <w:rFonts w:cs="Times New Roman"/>
        </w:rPr>
        <w:t xml:space="preserve">, de la juge McLachlin dans </w:t>
      </w:r>
      <w:proofErr w:type="spellStart"/>
      <w:r w:rsidRPr="00B24801">
        <w:rPr>
          <w:rFonts w:cs="Times New Roman"/>
          <w:i/>
        </w:rPr>
        <w:t>Westcoast</w:t>
      </w:r>
      <w:proofErr w:type="spellEnd"/>
      <w:r w:rsidRPr="00B24801">
        <w:rPr>
          <w:rFonts w:cs="Times New Roman"/>
          <w:i/>
        </w:rPr>
        <w:t xml:space="preserve"> Energy </w:t>
      </w:r>
      <w:r w:rsidRPr="00B24801">
        <w:rPr>
          <w:rFonts w:cs="Times New Roman"/>
        </w:rPr>
        <w:t xml:space="preserve">et de la juge Abella dans </w:t>
      </w:r>
      <w:r w:rsidRPr="00B24801">
        <w:rPr>
          <w:rFonts w:cs="Times New Roman"/>
          <w:i/>
        </w:rPr>
        <w:t>Tessier</w:t>
      </w:r>
      <w:r w:rsidRPr="00B24801">
        <w:rPr>
          <w:rFonts w:cs="Times New Roman"/>
        </w:rPr>
        <w:t>. Pareille démarche permet effectivement au Parlement, dans l’exercice de son pouvoir déclaratoire, [</w:t>
      </w:r>
      <w:r w:rsidRPr="00B24801">
        <w:rPr>
          <w:rFonts w:cs="Times New Roman"/>
          <w:smallCaps/>
        </w:rPr>
        <w:t>traduction</w:t>
      </w:r>
      <w:r w:rsidRPr="00B24801">
        <w:rPr>
          <w:rFonts w:cs="Times New Roman"/>
        </w:rPr>
        <w:t xml:space="preserve">] </w:t>
      </w:r>
      <w:r w:rsidRPr="00B24801">
        <w:rPr>
          <w:rFonts w:cs="Times New Roman"/>
        </w:rPr>
        <w:lastRenderedPageBreak/>
        <w:t xml:space="preserve">d’« “assujettir à la compétence fédérale les nombreuses entreprises locales qui fournissent des produits ou des services” à des entreprises fédérales, “ou qui sont liées d’une autre façon à celles‑ci” » (m. </w:t>
      </w:r>
      <w:proofErr w:type="spellStart"/>
      <w:r w:rsidRPr="00B24801">
        <w:rPr>
          <w:rFonts w:cs="Times New Roman"/>
        </w:rPr>
        <w:t>interv</w:t>
      </w:r>
      <w:proofErr w:type="spellEnd"/>
      <w:r w:rsidRPr="00B24801">
        <w:rPr>
          <w:rFonts w:cs="Times New Roman"/>
        </w:rPr>
        <w:t xml:space="preserve">., procureur général de la Saskatchewan, par. 83, citant </w:t>
      </w:r>
      <w:proofErr w:type="spellStart"/>
      <w:r w:rsidRPr="00B24801">
        <w:rPr>
          <w:rFonts w:cs="Times New Roman"/>
          <w:i/>
        </w:rPr>
        <w:t>Westcoast</w:t>
      </w:r>
      <w:proofErr w:type="spellEnd"/>
      <w:r w:rsidRPr="00B24801">
        <w:rPr>
          <w:rFonts w:cs="Times New Roman"/>
          <w:i/>
        </w:rPr>
        <w:t xml:space="preserve"> Energy</w:t>
      </w:r>
      <w:r w:rsidRPr="00B24801">
        <w:rPr>
          <w:rFonts w:cs="Times New Roman"/>
        </w:rPr>
        <w:t>, par. 149).</w:t>
      </w:r>
    </w:p>
    <w:p w14:paraId="2D80FDA3" w14:textId="77777777" w:rsidR="007B47A0" w:rsidRPr="00B24801" w:rsidRDefault="007B47A0" w:rsidP="007B47A0">
      <w:pPr>
        <w:pStyle w:val="ParaNoNdepar-AltN"/>
        <w:rPr>
          <w:rFonts w:cs="Times New Roman"/>
        </w:rPr>
      </w:pPr>
      <w:r w:rsidRPr="00B24801">
        <w:rPr>
          <w:rFonts w:cs="Times New Roman"/>
        </w:rPr>
        <w:t xml:space="preserve">Si l’importance ou la nature essentielle des services de l’entreprise provinciale suffisaient à elles seules, les principaux fournisseurs de matériaux ou de combustible d’une entreprise fédérale — même Hydro-Québec, qui fournit de l’électricité à de nombreuses entreprises fédérales — relèveraient de la compétence fédérale (voir </w:t>
      </w:r>
      <w:proofErr w:type="spellStart"/>
      <w:r w:rsidRPr="00B24801">
        <w:rPr>
          <w:rFonts w:cs="Times New Roman"/>
          <w:i/>
        </w:rPr>
        <w:t>Westcoast</w:t>
      </w:r>
      <w:proofErr w:type="spellEnd"/>
      <w:r w:rsidRPr="00B24801">
        <w:rPr>
          <w:rFonts w:cs="Times New Roman"/>
          <w:i/>
        </w:rPr>
        <w:t xml:space="preserve"> Energy</w:t>
      </w:r>
      <w:r w:rsidRPr="00B24801">
        <w:rPr>
          <w:rFonts w:cs="Times New Roman"/>
        </w:rPr>
        <w:t>, par. 143). La Cour d’appel du Québec a expliqué qu’« [i]l ne suffit pas que l’une, connexe, fournisse des services “vitaux” à l’autre, fédérale, il faut qu’elle y soit intégrée » (</w:t>
      </w:r>
      <w:r w:rsidRPr="00B24801">
        <w:rPr>
          <w:rFonts w:cs="Times New Roman"/>
          <w:i/>
        </w:rPr>
        <w:t xml:space="preserve">Transit Du Roy </w:t>
      </w:r>
      <w:proofErr w:type="spellStart"/>
      <w:r w:rsidRPr="00B24801">
        <w:rPr>
          <w:rFonts w:cs="Times New Roman"/>
          <w:i/>
        </w:rPr>
        <w:t>inc.</w:t>
      </w:r>
      <w:proofErr w:type="spellEnd"/>
      <w:r w:rsidRPr="00B24801">
        <w:rPr>
          <w:rFonts w:cs="Times New Roman"/>
        </w:rPr>
        <w:t>, par. 33). Comme le fait valoir l’appelant, « [c]</w:t>
      </w:r>
      <w:proofErr w:type="spellStart"/>
      <w:r w:rsidRPr="00B24801">
        <w:rPr>
          <w:rFonts w:cs="Times New Roman"/>
        </w:rPr>
        <w:t>ela</w:t>
      </w:r>
      <w:proofErr w:type="spellEnd"/>
      <w:r w:rsidRPr="00B24801">
        <w:rPr>
          <w:rFonts w:cs="Times New Roman"/>
        </w:rPr>
        <w:t xml:space="preserve"> reviendrait nécessairement à confondre les deux perspectives en fonction desquelles l’analyse doit être conduite, et à évacuer entièrement la perspective de l’entreprise locale au profit de celle de l’entreprise fédérale principale » (</w:t>
      </w:r>
      <w:proofErr w:type="spellStart"/>
      <w:r w:rsidRPr="00B24801">
        <w:rPr>
          <w:rFonts w:cs="Times New Roman"/>
        </w:rPr>
        <w:t>m.a</w:t>
      </w:r>
      <w:proofErr w:type="spellEnd"/>
      <w:r w:rsidRPr="00B24801">
        <w:rPr>
          <w:rFonts w:cs="Times New Roman"/>
        </w:rPr>
        <w:t>., par. 121). L’auteure Micheline Patenaude a souligné que « ce n’est pas parce qu’une activité est nécessaire au bon fonctionnement d’une entreprise ou d’un organisme fédéral qu’elle devient de ce seul fait sous la juridiction du fédéral “à tous les points de vue” » (p. 786).</w:t>
      </w:r>
    </w:p>
    <w:p w14:paraId="488F1382" w14:textId="77777777" w:rsidR="007B47A0" w:rsidRPr="00B24801" w:rsidRDefault="007B47A0" w:rsidP="007B47A0">
      <w:pPr>
        <w:pStyle w:val="ParaNoNdepar-AltN"/>
        <w:rPr>
          <w:rFonts w:cs="Times New Roman"/>
        </w:rPr>
      </w:pPr>
      <w:r w:rsidRPr="00B24801">
        <w:rPr>
          <w:rFonts w:cs="Times New Roman"/>
        </w:rPr>
        <w:t xml:space="preserve">SGS ne s’est pas acquittée du fardeau qui lui incombait de produire une preuve directe de la perspective de l’exploitant de l’ouvrage — </w:t>
      </w:r>
      <w:proofErr w:type="spellStart"/>
      <w:r w:rsidRPr="00B24801">
        <w:rPr>
          <w:rFonts w:cs="Times New Roman"/>
        </w:rPr>
        <w:t>Viterra</w:t>
      </w:r>
      <w:proofErr w:type="spellEnd"/>
      <w:r w:rsidRPr="00B24801">
        <w:rPr>
          <w:rFonts w:cs="Times New Roman"/>
        </w:rPr>
        <w:t xml:space="preserve">. Rappelons que </w:t>
      </w:r>
      <w:proofErr w:type="spellStart"/>
      <w:r w:rsidRPr="00B24801">
        <w:rPr>
          <w:rFonts w:cs="Times New Roman"/>
        </w:rPr>
        <w:t>Viterra</w:t>
      </w:r>
      <w:proofErr w:type="spellEnd"/>
      <w:r w:rsidRPr="00B24801">
        <w:rPr>
          <w:rFonts w:cs="Times New Roman"/>
        </w:rPr>
        <w:t xml:space="preserve"> remplit une double mission : elle exploite les silos aux fins de manutention et </w:t>
      </w:r>
      <w:r w:rsidRPr="00B24801">
        <w:rPr>
          <w:rFonts w:cs="Times New Roman"/>
        </w:rPr>
        <w:lastRenderedPageBreak/>
        <w:t xml:space="preserve">d’entreposage du grain, tout en se livrant à son achat, à sa vente et à son exportation. Bien que SGS ait affirmé que ses services étaient nécessaires aux activités de </w:t>
      </w:r>
      <w:proofErr w:type="spellStart"/>
      <w:r w:rsidRPr="00B24801">
        <w:rPr>
          <w:rFonts w:cs="Times New Roman"/>
        </w:rPr>
        <w:t>Viterra</w:t>
      </w:r>
      <w:proofErr w:type="spellEnd"/>
      <w:r w:rsidRPr="00B24801">
        <w:rPr>
          <w:rFonts w:cs="Times New Roman"/>
        </w:rPr>
        <w:t xml:space="preserve">, elle s’est peu attardée à établir une distinction entre les services qu’elle lui fournit pour appuyer l’exploitation du silo terminal en tant que telle </w:t>
      </w:r>
      <w:r w:rsidRPr="00B24801">
        <w:rPr>
          <w:rFonts w:cs="Times New Roman"/>
          <w:bCs/>
        </w:rPr>
        <w:t>—</w:t>
      </w:r>
      <w:r w:rsidRPr="00B24801">
        <w:rPr>
          <w:rFonts w:cs="Times New Roman"/>
        </w:rPr>
        <w:t xml:space="preserve"> « </w:t>
      </w:r>
      <w:r w:rsidRPr="00B24801">
        <w:rPr>
          <w:rFonts w:cs="Times New Roman"/>
          <w:szCs w:val="30"/>
          <w:shd w:val="clear" w:color="auto" w:fill="FFFFFF"/>
        </w:rPr>
        <w:t xml:space="preserve">destiné principalement à la réception de grain provenant d’un autre silo ainsi qu’au nettoyage, au stockage et au traitement de celui-ci avant expédition » </w:t>
      </w:r>
      <w:r w:rsidRPr="00B24801">
        <w:rPr>
          <w:rFonts w:cs="Times New Roman"/>
        </w:rPr>
        <w:t>(</w:t>
      </w:r>
      <w:r w:rsidRPr="00B24801">
        <w:rPr>
          <w:rFonts w:cs="Times New Roman"/>
          <w:i/>
        </w:rPr>
        <w:t>Loi sur les grains du Canada</w:t>
      </w:r>
      <w:r w:rsidRPr="00B24801">
        <w:rPr>
          <w:rFonts w:cs="Times New Roman"/>
        </w:rPr>
        <w:t xml:space="preserve">, art. 2 « installation terminale ou silo terminal ») </w:t>
      </w:r>
      <w:r w:rsidRPr="00B24801">
        <w:rPr>
          <w:rFonts w:cs="Times New Roman"/>
          <w:bCs/>
        </w:rPr>
        <w:t>—</w:t>
      </w:r>
      <w:r w:rsidRPr="00B24801">
        <w:rPr>
          <w:rFonts w:cs="Times New Roman"/>
        </w:rPr>
        <w:t>, et ceux qu’elle lui fournit relativement à l’activité commerciale consistant à acheter du grain et à le vendre sur les marchés internationaux. Si le premier type de services est pertinent pour l’analyse de la compétence dérivée au regard de l’al. 92(10)c), le second ne l’est pas. Autrement dit, bien que l’exploitation d’un terminal à grains puisse encore constituer une entreprise fédérale limitée appuyant l’ouvrage visé par une déclaration, l’exploitation d’une entreprise commerciale d’achat et de vente de grain demeure présumée relever de la compétence provinciale.</w:t>
      </w:r>
    </w:p>
    <w:p w14:paraId="33EC2C08" w14:textId="77777777" w:rsidR="007B47A0" w:rsidRPr="00B24801" w:rsidRDefault="007B47A0" w:rsidP="007B47A0">
      <w:pPr>
        <w:pStyle w:val="ParaNoNdepar-AltN"/>
        <w:rPr>
          <w:rFonts w:cs="Times New Roman"/>
        </w:rPr>
      </w:pPr>
      <w:r w:rsidRPr="00B24801">
        <w:rPr>
          <w:rFonts w:cs="Times New Roman"/>
        </w:rPr>
        <w:t xml:space="preserve">Deux autres considérations essentielles à l’application correcte du critère de l’intégration fonctionnelle doivent être abordées. La première a trait à la question de savoir si l’intégration fonctionnelle doit être appréciée par rapport à une seule ou à plusieurs entreprises fédérales. SGS soutient qu’il est possible pour une partie d’établir l’existence d’une compétence dérivée en démontrant que l’entreprise locale est intégrée soit à un seul ouvrage déclaré, soit à un ensemble de tels ouvrages, et qu’en l’espèce, SGS est fonctionnellement intégrée à six entreprises fédérales exploitant des silos à grains au Québec. Elle soutient que l’arrêt </w:t>
      </w:r>
      <w:proofErr w:type="spellStart"/>
      <w:r w:rsidRPr="00B24801">
        <w:rPr>
          <w:rFonts w:cs="Times New Roman"/>
          <w:i/>
        </w:rPr>
        <w:t>Madysta</w:t>
      </w:r>
      <w:proofErr w:type="spellEnd"/>
      <w:r w:rsidRPr="00B24801">
        <w:rPr>
          <w:rFonts w:cs="Times New Roman"/>
          <w:i/>
        </w:rPr>
        <w:t xml:space="preserve"> Télécom </w:t>
      </w:r>
      <w:proofErr w:type="spellStart"/>
      <w:r w:rsidRPr="00B24801">
        <w:rPr>
          <w:rFonts w:cs="Times New Roman"/>
          <w:i/>
        </w:rPr>
        <w:t>ltée</w:t>
      </w:r>
      <w:proofErr w:type="spellEnd"/>
      <w:r w:rsidRPr="00B24801">
        <w:rPr>
          <w:rFonts w:cs="Times New Roman"/>
          <w:i/>
        </w:rPr>
        <w:t xml:space="preserve"> c. Commission des </w:t>
      </w:r>
      <w:r w:rsidRPr="00B24801">
        <w:rPr>
          <w:rFonts w:cs="Times New Roman"/>
          <w:i/>
        </w:rPr>
        <w:lastRenderedPageBreak/>
        <w:t>normes, de l’équité, de la santé et de la sécurité du travail</w:t>
      </w:r>
      <w:r w:rsidRPr="00B24801">
        <w:rPr>
          <w:rFonts w:cs="Times New Roman"/>
        </w:rPr>
        <w:t xml:space="preserve">, 2020 QCCA 183, ne s’applique pas en l’espèce, étant donné que la déclaration, à l’art. 55 de la </w:t>
      </w:r>
      <w:r w:rsidRPr="00B24801">
        <w:rPr>
          <w:rFonts w:cs="Times New Roman"/>
          <w:iCs/>
        </w:rPr>
        <w:t>Loi</w:t>
      </w:r>
      <w:r w:rsidRPr="00B24801">
        <w:rPr>
          <w:rFonts w:cs="Times New Roman"/>
        </w:rPr>
        <w:t>, fait référence à « [t]</w:t>
      </w:r>
      <w:proofErr w:type="spellStart"/>
      <w:r w:rsidRPr="00B24801">
        <w:rPr>
          <w:rFonts w:cs="Times New Roman"/>
        </w:rPr>
        <w:t>outes</w:t>
      </w:r>
      <w:proofErr w:type="spellEnd"/>
      <w:r w:rsidRPr="00B24801">
        <w:rPr>
          <w:rFonts w:cs="Times New Roman"/>
        </w:rPr>
        <w:t xml:space="preserve"> les installations [. . .], collectivement et séparément » (</w:t>
      </w:r>
      <w:proofErr w:type="spellStart"/>
      <w:r w:rsidRPr="00B24801">
        <w:rPr>
          <w:rFonts w:cs="Times New Roman"/>
        </w:rPr>
        <w:t>m.i</w:t>
      </w:r>
      <w:proofErr w:type="spellEnd"/>
      <w:r w:rsidRPr="00B24801">
        <w:rPr>
          <w:rFonts w:cs="Times New Roman"/>
        </w:rPr>
        <w:t>., par. 99).</w:t>
      </w:r>
    </w:p>
    <w:p w14:paraId="06620587" w14:textId="77777777" w:rsidR="007B47A0" w:rsidRPr="00B24801" w:rsidRDefault="007B47A0" w:rsidP="007B47A0">
      <w:pPr>
        <w:pStyle w:val="ParaNoNdepar-AltN"/>
        <w:tabs>
          <w:tab w:val="clear" w:pos="1152"/>
          <w:tab w:val="left" w:pos="1166"/>
        </w:tabs>
        <w:rPr>
          <w:rFonts w:cs="Times New Roman"/>
        </w:rPr>
      </w:pPr>
      <w:r w:rsidRPr="00B24801">
        <w:rPr>
          <w:rFonts w:cs="Times New Roman"/>
        </w:rPr>
        <w:t xml:space="preserve">Dans l’arrêt </w:t>
      </w:r>
      <w:proofErr w:type="spellStart"/>
      <w:r w:rsidRPr="00B24801">
        <w:rPr>
          <w:rFonts w:cs="Times New Roman"/>
          <w:i/>
        </w:rPr>
        <w:t>Madysta</w:t>
      </w:r>
      <w:proofErr w:type="spellEnd"/>
      <w:r w:rsidRPr="00B24801">
        <w:rPr>
          <w:rFonts w:cs="Times New Roman"/>
        </w:rPr>
        <w:t xml:space="preserve">, la Cour d’appel du Québec a jugé que l’entreprise en cause « devait faire partie intégrante </w:t>
      </w:r>
      <w:r w:rsidRPr="00B24801">
        <w:rPr>
          <w:rFonts w:cs="Times New Roman"/>
          <w:u w:val="single"/>
        </w:rPr>
        <w:t>d’une seule</w:t>
      </w:r>
      <w:r w:rsidRPr="00B24801">
        <w:rPr>
          <w:rFonts w:cs="Times New Roman"/>
        </w:rPr>
        <w:t xml:space="preserve"> société [. . .] pour relever de la compétence fédérale dérivée » (par. 86 (je souligne)). Dans la présente affaire, la Cour d’appel a confirmé les conclusions tirées dans </w:t>
      </w:r>
      <w:proofErr w:type="spellStart"/>
      <w:r w:rsidRPr="00B24801">
        <w:rPr>
          <w:rFonts w:cs="Times New Roman"/>
          <w:i/>
        </w:rPr>
        <w:t>Madysta</w:t>
      </w:r>
      <w:proofErr w:type="spellEnd"/>
      <w:r w:rsidRPr="00B24801">
        <w:rPr>
          <w:rFonts w:cs="Times New Roman"/>
        </w:rPr>
        <w:t xml:space="preserve">, et j’estime qu’elle a eu raison de le faire. Dans l’arrêt </w:t>
      </w:r>
      <w:r w:rsidRPr="00B24801">
        <w:rPr>
          <w:rFonts w:cs="Times New Roman"/>
          <w:i/>
        </w:rPr>
        <w:t>Central Western</w:t>
      </w:r>
      <w:r w:rsidRPr="00B24801">
        <w:rPr>
          <w:rFonts w:cs="Times New Roman"/>
        </w:rPr>
        <w:t>, le juge en chef Dickson a rejeté l’affirmation selon laquelle l’entreprise ferroviaire provinciale était largement intégrée à un « réseau de transport du grain » (p. 1144). Pour que l’intégration fonctionnelle puisse être établie, il doit y avoir une entreprise fédérale « </w:t>
      </w:r>
      <w:proofErr w:type="spellStart"/>
      <w:r w:rsidRPr="00B24801">
        <w:rPr>
          <w:rFonts w:cs="Times New Roman"/>
        </w:rPr>
        <w:t>identifiabl</w:t>
      </w:r>
      <w:proofErr w:type="spellEnd"/>
      <w:r w:rsidRPr="00B24801">
        <w:rPr>
          <w:rFonts w:cs="Times New Roman"/>
        </w:rPr>
        <w:t>[e] et distinct[e] » comme objet de l’analyse (p. 1143), et non une « agglomération » d’entreprises. Le juge en chef Dickson a prévenu que « [t]</w:t>
      </w:r>
      <w:proofErr w:type="spellStart"/>
      <w:r w:rsidRPr="00B24801">
        <w:rPr>
          <w:rFonts w:cs="Times New Roman"/>
        </w:rPr>
        <w:t>irer</w:t>
      </w:r>
      <w:proofErr w:type="spellEnd"/>
      <w:r w:rsidRPr="00B24801">
        <w:rPr>
          <w:rFonts w:cs="Times New Roman"/>
        </w:rPr>
        <w:t xml:space="preserve"> la conclusion contraire reviendrait d’ailleurs à autoriser le Parlement à “s’arroger” la compétence provinciale relativement à tout ce qui fait partie intégrante du réseau de transport du grain, comme on l’appelle » (p. 1144). L’entreprise provinciale en cause doit donc être fonctionnellement intégrée à une </w:t>
      </w:r>
      <w:r w:rsidRPr="00B24801">
        <w:rPr>
          <w:rFonts w:cs="Times New Roman"/>
          <w:i/>
        </w:rPr>
        <w:t>seule</w:t>
      </w:r>
      <w:r w:rsidRPr="00B24801">
        <w:rPr>
          <w:rFonts w:cs="Times New Roman"/>
        </w:rPr>
        <w:t xml:space="preserve"> entreprise fédérale, et non à plusieurs entreprises fédérales différentes.</w:t>
      </w:r>
    </w:p>
    <w:p w14:paraId="797ABE9E" w14:textId="77777777" w:rsidR="007B47A0" w:rsidRPr="00B24801" w:rsidRDefault="007B47A0" w:rsidP="007B47A0">
      <w:pPr>
        <w:pStyle w:val="ParaNoNdepar-AltN"/>
        <w:tabs>
          <w:tab w:val="clear" w:pos="1152"/>
          <w:tab w:val="left" w:pos="1166"/>
        </w:tabs>
        <w:rPr>
          <w:rFonts w:cs="Times New Roman"/>
        </w:rPr>
      </w:pPr>
      <w:bookmarkStart w:id="156" w:name="_Hlk233545343"/>
      <w:r w:rsidRPr="00B24801">
        <w:rPr>
          <w:rFonts w:cs="Times New Roman"/>
        </w:rPr>
        <w:t xml:space="preserve">La nécessité d’identifier une seule entreprise fédérale découle de la logique qui sous-tend la compétence dérivée. L’extension de la compétence fédérale « par voie dérivée » se justifie par le fait que l’entreprise provinciale fonctionne comme une </w:t>
      </w:r>
      <w:r w:rsidRPr="00B24801">
        <w:rPr>
          <w:rFonts w:cs="Times New Roman"/>
        </w:rPr>
        <w:lastRenderedPageBreak/>
        <w:t xml:space="preserve">composante de l’entreprise fédérale, de sorte qu’elle perd son caractère distinct. Le « lien matériel et opérationnel » requis entre les deux entreprises signifie forcément que le critère consiste à se demander dans quelle mesure leurs opérations sont interreliées. Il est certain qu’une même entreprise peut exploiter plus d’un ouvrage fédéral. Dans un tel cas, cependant, l’intégration s’apprécie en fonction du lien entre, d’une part, l’entreprise provinciale desservant l’entreprise fédérale et, d’autre part, l’entreprise fédérale exploitant ces ouvrages comme un tout unifié. </w:t>
      </w:r>
    </w:p>
    <w:p w14:paraId="74EFA48A" w14:textId="77777777" w:rsidR="007B47A0" w:rsidRPr="00B24801" w:rsidRDefault="007B47A0" w:rsidP="007B47A0">
      <w:pPr>
        <w:pStyle w:val="ParaNoNdepar-AltN"/>
        <w:tabs>
          <w:tab w:val="clear" w:pos="1152"/>
          <w:tab w:val="left" w:pos="1166"/>
        </w:tabs>
        <w:rPr>
          <w:rFonts w:cs="Times New Roman"/>
        </w:rPr>
      </w:pPr>
      <w:r w:rsidRPr="00B24801">
        <w:rPr>
          <w:rFonts w:cs="Times New Roman"/>
        </w:rPr>
        <w:t xml:space="preserve">Par ailleurs, une entreprise provinciale qui dessert plusieurs ouvrages fédéraux répartit forcément ses activités entre eux. On ne saurait donc présumer que ses services auprès d’un ouvrage en particulier représentent une part importante de ses activités globales, en l’absence d’éléments de preuve indiquant la répartition de ses activités. Dans l’arrêt </w:t>
      </w:r>
      <w:r w:rsidRPr="00B24801">
        <w:rPr>
          <w:rFonts w:cs="Times New Roman"/>
          <w:i/>
        </w:rPr>
        <w:t>L-3 Communications Mapps</w:t>
      </w:r>
      <w:r w:rsidRPr="00B24801">
        <w:rPr>
          <w:rFonts w:cs="Times New Roman"/>
        </w:rPr>
        <w:t xml:space="preserve">, la Cour d’appel du Québec a conclu qu’une partie fournissant des services à trois entreprises fédérales « rend impossible en soi de considérer l’entreprise de l’Appelante comme partie intégrante de l’une ou l’autre des trois entreprises; elle ne saurait consacrer “la totalité ou la majeure partie” de son activité à chacune d’entre elles » (par. 40, citant </w:t>
      </w:r>
      <w:r w:rsidRPr="00B24801">
        <w:rPr>
          <w:rFonts w:cs="Times New Roman"/>
          <w:i/>
        </w:rPr>
        <w:t>Tessier</w:t>
      </w:r>
      <w:r w:rsidRPr="00B24801">
        <w:rPr>
          <w:rFonts w:cs="Times New Roman"/>
        </w:rPr>
        <w:t>, par. 48; voir aussi Brun, Tremblay et Brouillet, par. VI-2.305). Bien que le critère de l’intégration fonctionnelle n’implique pas un « examen microscopique » des détails opérationnels, il exige tout de même d’établir la dépendance mutuelle entre deux entreprises, chacune fonctionnant « en tant qu’entreprise active » (</w:t>
      </w:r>
      <w:proofErr w:type="spellStart"/>
      <w:r w:rsidRPr="00B24801">
        <w:rPr>
          <w:rFonts w:cs="Times New Roman"/>
          <w:i/>
        </w:rPr>
        <w:t>Northern</w:t>
      </w:r>
      <w:proofErr w:type="spellEnd"/>
      <w:r w:rsidRPr="00B24801">
        <w:rPr>
          <w:rFonts w:cs="Times New Roman"/>
          <w:i/>
        </w:rPr>
        <w:t xml:space="preserve"> Telecom </w:t>
      </w:r>
      <w:r w:rsidRPr="00B24801">
        <w:rPr>
          <w:rFonts w:cs="Times New Roman"/>
        </w:rPr>
        <w:t>(1983), p. 754 et 760).</w:t>
      </w:r>
      <w:bookmarkEnd w:id="155"/>
      <w:bookmarkEnd w:id="156"/>
    </w:p>
    <w:p w14:paraId="288826C3" w14:textId="77777777" w:rsidR="007B47A0" w:rsidRPr="00B24801" w:rsidRDefault="007B47A0" w:rsidP="007B47A0">
      <w:pPr>
        <w:pStyle w:val="ParaNoNdepar-AltN"/>
        <w:tabs>
          <w:tab w:val="clear" w:pos="1152"/>
          <w:tab w:val="left" w:pos="1166"/>
        </w:tabs>
        <w:rPr>
          <w:rFonts w:cs="Times New Roman"/>
        </w:rPr>
      </w:pPr>
      <w:r w:rsidRPr="00B24801">
        <w:rPr>
          <w:rFonts w:cs="Times New Roman"/>
        </w:rPr>
        <w:lastRenderedPageBreak/>
        <w:t>La deuxième considération a trait à la manière dont il convient de définir l’entreprise provinciale pour les besoins de l’analyse de la compétence dérivée. Les parties ont dit qu’il s’agissait d’une question préliminaire, et les tribunaux d’instance inférieure l’ont d’ailleurs traitée comme telle (motifs du T.A.T., par. 88-92; 2023 QCCS 1186, par. 22-38; motifs de la C.A., par. 55-59). SGS soutient que les 14 employés de la succursale de Montréal de SGS constituent « l’unité fonctionnelle appropriée aux fins de la qualification constitutionnelle » (</w:t>
      </w:r>
      <w:proofErr w:type="spellStart"/>
      <w:r w:rsidRPr="00B24801">
        <w:rPr>
          <w:rFonts w:cs="Times New Roman"/>
        </w:rPr>
        <w:t>m.i</w:t>
      </w:r>
      <w:proofErr w:type="spellEnd"/>
      <w:r w:rsidRPr="00B24801">
        <w:rPr>
          <w:rFonts w:cs="Times New Roman"/>
        </w:rPr>
        <w:t xml:space="preserve">., par. 2; </w:t>
      </w:r>
      <w:r w:rsidRPr="00B24801">
        <w:rPr>
          <w:rFonts w:cs="Times New Roman"/>
          <w:i/>
        </w:rPr>
        <w:t>Tessier</w:t>
      </w:r>
      <w:r w:rsidRPr="00B24801">
        <w:rPr>
          <w:rFonts w:cs="Times New Roman"/>
        </w:rPr>
        <w:t>, par. 49). L’appelant répond que l’intimée, de façon artificielle, « </w:t>
      </w:r>
      <w:proofErr w:type="spellStart"/>
      <w:r w:rsidRPr="00B24801">
        <w:rPr>
          <w:rFonts w:cs="Times New Roman"/>
        </w:rPr>
        <w:t>tent</w:t>
      </w:r>
      <w:proofErr w:type="spellEnd"/>
      <w:r w:rsidRPr="00B24801">
        <w:rPr>
          <w:rFonts w:cs="Times New Roman"/>
        </w:rPr>
        <w:t>[e] de réduire la taille de l’entité qui serait considérée » (</w:t>
      </w:r>
      <w:proofErr w:type="spellStart"/>
      <w:r w:rsidRPr="00B24801">
        <w:rPr>
          <w:rFonts w:cs="Times New Roman"/>
        </w:rPr>
        <w:t>m.a</w:t>
      </w:r>
      <w:proofErr w:type="spellEnd"/>
      <w:r w:rsidRPr="00B24801">
        <w:rPr>
          <w:rFonts w:cs="Times New Roman"/>
        </w:rPr>
        <w:t>., par. 95). À mon avis, bien que l’identification de l’unité d’analyse appropriée soit une considération importante qui nécessite d’être examinée attentivement, elle relève du critère de la compétence dérivée plutôt que de constituer une étape préliminaire.</w:t>
      </w:r>
    </w:p>
    <w:p w14:paraId="0A43DE96" w14:textId="77777777" w:rsidR="007B47A0" w:rsidRPr="00B24801" w:rsidRDefault="007B47A0" w:rsidP="007B47A0">
      <w:pPr>
        <w:pStyle w:val="ParaNoNdepar-AltN"/>
        <w:tabs>
          <w:tab w:val="clear" w:pos="1152"/>
          <w:tab w:val="left" w:pos="1166"/>
        </w:tabs>
        <w:rPr>
          <w:rFonts w:cs="Times New Roman"/>
        </w:rPr>
      </w:pPr>
      <w:r w:rsidRPr="00B24801">
        <w:rPr>
          <w:rFonts w:cs="Times New Roman"/>
        </w:rPr>
        <w:t>Avec égards, il s’agit là d’une erreur méthodologique, car elle élève une simple considération au rang de critère déterminant de l’intégration fonctionnelle. Une unité ne constitue une « unité fonctionnelle particulière » d’une entreprise provinciale que lorsqu’elle fonctionne comme un élément de l’entreprise fédérale à laquelle elle fournit des services, de sorte que les deux entreprises forment une seule entreprise. L’identification d’une « unité fonctionnelle particulière » n’est donc pas une question préliminaire, mais fait partie de l’analyse de l’intégration fonctionnelle. Il ne s’agit pas, en soi, « [d’un] facteur déterminant dans l’application du critère de la compétence dérivée » (</w:t>
      </w:r>
      <w:r w:rsidRPr="00B24801">
        <w:rPr>
          <w:rFonts w:cs="Times New Roman"/>
          <w:i/>
        </w:rPr>
        <w:t>Association internationale des débardeurs, section locale 1657 c. Association des employeurs maritimes</w:t>
      </w:r>
      <w:r w:rsidRPr="00B24801">
        <w:rPr>
          <w:rFonts w:cs="Times New Roman"/>
        </w:rPr>
        <w:t xml:space="preserve">, 2014 CCRI 728, par. 178). En l’espèce, </w:t>
      </w:r>
      <w:r w:rsidRPr="00B24801">
        <w:rPr>
          <w:rFonts w:cs="Times New Roman"/>
        </w:rPr>
        <w:lastRenderedPageBreak/>
        <w:t xml:space="preserve">l’affirmation de SGS selon laquelle sa succursale de Montréal est une « unité fonctionnelle particulière » n’a de sens que si elle établit que la succursale est fonctionnellement intégrée à </w:t>
      </w:r>
      <w:proofErr w:type="spellStart"/>
      <w:r w:rsidRPr="00B24801">
        <w:rPr>
          <w:rFonts w:cs="Times New Roman"/>
        </w:rPr>
        <w:t>Viterra</w:t>
      </w:r>
      <w:proofErr w:type="spellEnd"/>
      <w:r w:rsidRPr="00B24801">
        <w:rPr>
          <w:rFonts w:cs="Times New Roman"/>
        </w:rPr>
        <w:t>, l’entreprise fédérale qu’elle dessert.</w:t>
      </w:r>
    </w:p>
    <w:p w14:paraId="68BEC880" w14:textId="77777777" w:rsidR="007B47A0" w:rsidRPr="00B24801" w:rsidRDefault="007B47A0" w:rsidP="007B47A0">
      <w:pPr>
        <w:pStyle w:val="ParaNoNdepar-AltN"/>
        <w:tabs>
          <w:tab w:val="clear" w:pos="1152"/>
          <w:tab w:val="left" w:pos="1166"/>
        </w:tabs>
        <w:rPr>
          <w:rFonts w:cs="Times New Roman"/>
        </w:rPr>
      </w:pPr>
      <w:r w:rsidRPr="00B24801">
        <w:rPr>
          <w:rFonts w:cs="Times New Roman"/>
        </w:rPr>
        <w:t xml:space="preserve">L’idée que l’« intégration fonctionnelle » et l’existence d’une « unité fonctionnelle particulière » sont deux aspects d’une seule et même analyse est clairement exprimée dans la jurisprudence. Dans l’arrêt </w:t>
      </w:r>
      <w:r w:rsidRPr="00B24801">
        <w:rPr>
          <w:rFonts w:cs="Times New Roman"/>
          <w:i/>
        </w:rPr>
        <w:t>Tessier</w:t>
      </w:r>
      <w:r w:rsidRPr="00B24801">
        <w:rPr>
          <w:rFonts w:cs="Times New Roman"/>
        </w:rPr>
        <w:t>,</w:t>
      </w:r>
      <w:r w:rsidRPr="00B24801">
        <w:rPr>
          <w:rFonts w:cs="Times New Roman"/>
          <w:i/>
        </w:rPr>
        <w:t xml:space="preserve"> </w:t>
      </w:r>
      <w:r w:rsidRPr="00B24801">
        <w:rPr>
          <w:rFonts w:cs="Times New Roman"/>
        </w:rPr>
        <w:t xml:space="preserve">la juge Abella a conclu que les employés concernés « ne forment pas une unité de travail distincte et sont pleinement intégrés » à l’entreprise provinciale, parce que les services de débardage qu’ils fournissaient à l’entreprise de transport maritime fédérale ne constituaient pas la majeure partie des opérations de l’entreprise provinciale dans leur ensemble (par. 50). Ces employés ne satisfaisaient pas au critère des « deux perspectives » de manière à pouvoir être jugés fonctionnellement intégrés à l’entreprise fédérale. De même, dans l’affaire </w:t>
      </w:r>
      <w:r w:rsidRPr="00B24801">
        <w:rPr>
          <w:rFonts w:cs="Times New Roman"/>
          <w:i/>
        </w:rPr>
        <w:t xml:space="preserve">Empress </w:t>
      </w:r>
      <w:proofErr w:type="spellStart"/>
      <w:r w:rsidRPr="00B24801">
        <w:rPr>
          <w:rFonts w:cs="Times New Roman"/>
          <w:i/>
        </w:rPr>
        <w:t>Hotel</w:t>
      </w:r>
      <w:proofErr w:type="spellEnd"/>
      <w:r w:rsidRPr="00B24801">
        <w:rPr>
          <w:rFonts w:cs="Times New Roman"/>
        </w:rPr>
        <w:t>, la Cour avait statué que l’hôtel en cause constituait une entreprise distincte de la compagnie de chemin de fer qui en était propriétaire, parce qu’elle [</w:t>
      </w:r>
      <w:r w:rsidRPr="00B24801">
        <w:rPr>
          <w:rFonts w:cs="Times New Roman"/>
          <w:smallCaps/>
        </w:rPr>
        <w:t>traduction</w:t>
      </w:r>
      <w:r w:rsidRPr="00B24801">
        <w:rPr>
          <w:rFonts w:cs="Times New Roman"/>
        </w:rPr>
        <w:t>] « ne faisait pas partie intégrante du moyen de transport » (</w:t>
      </w:r>
      <w:r w:rsidRPr="00B24801">
        <w:rPr>
          <w:rFonts w:cs="Times New Roman"/>
          <w:i/>
        </w:rPr>
        <w:t>Canadian Pacific Railway Co. c. Attorney-General of British Columbia</w:t>
      </w:r>
      <w:r w:rsidRPr="00B24801">
        <w:rPr>
          <w:rFonts w:cs="Times New Roman"/>
        </w:rPr>
        <w:t>, [1948] R.C.S. 373,</w:t>
      </w:r>
      <w:r w:rsidRPr="00B24801">
        <w:rPr>
          <w:rFonts w:cs="Times New Roman"/>
          <w:i/>
        </w:rPr>
        <w:t xml:space="preserve"> </w:t>
      </w:r>
      <w:r w:rsidRPr="00B24801">
        <w:rPr>
          <w:rFonts w:cs="Times New Roman"/>
        </w:rPr>
        <w:t>p. 383; voir aussi Hogg et Wright, § 22:7). C’est l’absence d’intégration qui faisait de l’hôtel une « unité fonctionnelle particulière » par rapport au reste de l’entreprise ferroviaire. L’analyse globale doit rester axée sur la relation d’interdépendance selon les deux perspectives.</w:t>
      </w:r>
    </w:p>
    <w:p w14:paraId="7A1ED68D" w14:textId="77777777" w:rsidR="007B47A0" w:rsidRPr="00B24801" w:rsidRDefault="007B47A0" w:rsidP="007B47A0">
      <w:pPr>
        <w:pStyle w:val="ParaNoNdepar-AltN"/>
        <w:tabs>
          <w:tab w:val="clear" w:pos="1152"/>
          <w:tab w:val="left" w:pos="1166"/>
        </w:tabs>
        <w:rPr>
          <w:rFonts w:cs="Times New Roman"/>
        </w:rPr>
      </w:pPr>
      <w:r w:rsidRPr="00B24801">
        <w:rPr>
          <w:rFonts w:cs="Times New Roman"/>
        </w:rPr>
        <w:lastRenderedPageBreak/>
        <w:t>Le fait d’isoler la question en la traitant comme une question préliminaire détourne l’attention de l’analyse fondamentale à réaliser, soit celle du rapport d’interdépendance qui existe entre l’entreprise provinciale en cause et l’entreprise fédérale qu’elle dessert. Il y a là un risque de s’engager prématurément dans une longue analyse factuelle avant même d’aborder la question constitutionnelle. Le risque de s’écarter de l’analyse fondamentale se reflète dans le présent pourvoi : les deux parties ont présenté des observations détaillées sur « l’unité fonctionnelle appropriée aux fins de la qualification constitutionnelle » (</w:t>
      </w:r>
      <w:proofErr w:type="spellStart"/>
      <w:r w:rsidRPr="00B24801">
        <w:rPr>
          <w:rFonts w:cs="Times New Roman"/>
        </w:rPr>
        <w:t>m.i</w:t>
      </w:r>
      <w:proofErr w:type="spellEnd"/>
      <w:r w:rsidRPr="00B24801">
        <w:rPr>
          <w:rFonts w:cs="Times New Roman"/>
        </w:rPr>
        <w:t xml:space="preserve">., par. 71-76; </w:t>
      </w:r>
      <w:proofErr w:type="spellStart"/>
      <w:r w:rsidRPr="00B24801">
        <w:rPr>
          <w:rFonts w:cs="Times New Roman"/>
        </w:rPr>
        <w:t>m.a</w:t>
      </w:r>
      <w:proofErr w:type="spellEnd"/>
      <w:r w:rsidRPr="00B24801">
        <w:rPr>
          <w:rFonts w:cs="Times New Roman"/>
        </w:rPr>
        <w:t>., par. 93-108), et les tribunaux d’instance inférieure ont eux aussi analysé les faits de manière approfondie pour pouvoir statuer sur la question.</w:t>
      </w:r>
    </w:p>
    <w:p w14:paraId="0C19C953" w14:textId="77777777" w:rsidR="007B47A0" w:rsidRPr="00B24801" w:rsidRDefault="007B47A0" w:rsidP="007B47A0">
      <w:pPr>
        <w:pStyle w:val="ParaNoNdepar-AltN"/>
        <w:tabs>
          <w:tab w:val="clear" w:pos="1152"/>
          <w:tab w:val="left" w:pos="1166"/>
        </w:tabs>
        <w:rPr>
          <w:rFonts w:cs="Times New Roman"/>
        </w:rPr>
      </w:pPr>
      <w:r w:rsidRPr="00B24801">
        <w:rPr>
          <w:rFonts w:cs="Times New Roman"/>
        </w:rPr>
        <w:t xml:space="preserve">La juge Abella a expliqué dans l’arrêt </w:t>
      </w:r>
      <w:r w:rsidRPr="00B24801">
        <w:rPr>
          <w:rFonts w:cs="Times New Roman"/>
          <w:i/>
        </w:rPr>
        <w:t>Tessier</w:t>
      </w:r>
      <w:r w:rsidRPr="00B24801">
        <w:rPr>
          <w:rFonts w:cs="Times New Roman"/>
        </w:rPr>
        <w:t xml:space="preserve"> que la compétence dérivée peut être établie lorsque les services, assurés par « une unité fonctionnelle particulière » d’employés de l’entreprise provinciale plutôt que par l’ensemble de cette entreprise, constituent une part importante des opérations de cette unité, comme c’était le cas dans </w:t>
      </w:r>
      <w:proofErr w:type="spellStart"/>
      <w:r w:rsidRPr="00B24801">
        <w:rPr>
          <w:rFonts w:cs="Times New Roman"/>
          <w:i/>
        </w:rPr>
        <w:t>Northern</w:t>
      </w:r>
      <w:proofErr w:type="spellEnd"/>
      <w:r w:rsidRPr="00B24801">
        <w:rPr>
          <w:rFonts w:cs="Times New Roman"/>
          <w:i/>
        </w:rPr>
        <w:t xml:space="preserve"> Telecom </w:t>
      </w:r>
      <w:r w:rsidRPr="00B24801">
        <w:rPr>
          <w:rFonts w:cs="Times New Roman"/>
        </w:rPr>
        <w:t xml:space="preserve">(1983) (par. 49). Dans cette situation, seule l’unité relève de la compétence fédérale; le reste de l’entreprise demeure de compétence provinciale. Cela ne donne toutefois pas lieu à une analyse autonome concernant l’existence d’une « unité fonctionnelle particulière » qui devrait être effectuée avant d’appliquer le critère de l’intégration fonctionnelle. Il s’agit simplement d’une manière différente d’établir l’intégration fonctionnelle entre deux entreprises. Tel que l’appelant le fait valoir, le point de départ habituel de l’analyse de l’intégration fonctionnelle est l’entreprise provinciale dans son ensemble. Le tribunal qui est saisi de l’affirmation d’une partie </w:t>
      </w:r>
      <w:r w:rsidRPr="00B24801">
        <w:rPr>
          <w:rFonts w:cs="Times New Roman"/>
        </w:rPr>
        <w:lastRenderedPageBreak/>
        <w:t>selon laquelle une unité de salariés forme une « unité fonctionnelle particulière » doit garder à l’esprit qu’« une entreprise indivisible et intégrée ne doit pas être artificiellement scindée aux fins de classification constitutionnelle » (</w:t>
      </w:r>
      <w:r w:rsidRPr="00B24801">
        <w:rPr>
          <w:rFonts w:cs="Times New Roman"/>
          <w:i/>
        </w:rPr>
        <w:t>Tessier</w:t>
      </w:r>
      <w:r w:rsidRPr="00B24801">
        <w:rPr>
          <w:rFonts w:cs="Times New Roman"/>
        </w:rPr>
        <w:t>, par. 55). L’auteur Robert P. Gagnon a expliqué de manière semblable que « la règle de l’indivisibilité de l’entreprise veut qu’une fois qualifiée de fédérale, l’entreprise soit considérée comme un tout indivisible [. . .] Cette règle de l’indivisibilité de l’entreprise bénéficie également aux entreprises provinciales » (p. 23; voir aussi Patenaude, p. 799). Bien qu’une unité de négociation puisse fort bien constituer une « unité fonctionnelle particulière », son existence ne doit pas être confondue avec la question de savoir si cette unité de négociation est appropriée, une question que doit évaluer le tribunal du travail saisi de la demande d’accréditation (</w:t>
      </w:r>
      <w:proofErr w:type="spellStart"/>
      <w:r w:rsidRPr="00B24801">
        <w:rPr>
          <w:rFonts w:cs="Times New Roman"/>
          <w:i/>
        </w:rPr>
        <w:t>Northern</w:t>
      </w:r>
      <w:proofErr w:type="spellEnd"/>
      <w:r w:rsidRPr="00B24801">
        <w:rPr>
          <w:rFonts w:cs="Times New Roman"/>
          <w:i/>
        </w:rPr>
        <w:t xml:space="preserve"> Telecom </w:t>
      </w:r>
      <w:r w:rsidRPr="00B24801">
        <w:rPr>
          <w:rFonts w:cs="Times New Roman"/>
        </w:rPr>
        <w:t xml:space="preserve">(1983), p. 760; voir, p. ex., </w:t>
      </w:r>
      <w:r w:rsidRPr="00B24801">
        <w:rPr>
          <w:rFonts w:cs="Times New Roman"/>
          <w:i/>
        </w:rPr>
        <w:t xml:space="preserve">Code du travail </w:t>
      </w:r>
      <w:r w:rsidRPr="00B24801">
        <w:rPr>
          <w:rFonts w:cs="Times New Roman"/>
        </w:rPr>
        <w:t xml:space="preserve">du Québec, art. 21 et 32; </w:t>
      </w:r>
      <w:r w:rsidRPr="00B24801">
        <w:rPr>
          <w:rFonts w:cs="Times New Roman"/>
          <w:i/>
        </w:rPr>
        <w:t>Code canadien du travail</w:t>
      </w:r>
      <w:r w:rsidRPr="00B24801">
        <w:rPr>
          <w:rFonts w:cs="Times New Roman"/>
        </w:rPr>
        <w:t>, L.R.C. 1985, c. L-2, art. 27; Coutu et autres, p. 525-527).</w:t>
      </w:r>
    </w:p>
    <w:p w14:paraId="544D306B" w14:textId="77777777" w:rsidR="007B47A0" w:rsidRPr="00B24801" w:rsidRDefault="007B47A0" w:rsidP="007B47A0">
      <w:pPr>
        <w:pStyle w:val="ParaNoNdepar-AltN"/>
        <w:tabs>
          <w:tab w:val="clear" w:pos="1152"/>
          <w:tab w:val="left" w:pos="1166"/>
        </w:tabs>
        <w:rPr>
          <w:rFonts w:cs="Times New Roman"/>
        </w:rPr>
      </w:pPr>
      <w:r w:rsidRPr="00B24801">
        <w:rPr>
          <w:rFonts w:cs="Times New Roman"/>
        </w:rPr>
        <w:t xml:space="preserve">En définitive, les exigences rigoureuses qui composent le critère de l’intégration fonctionnelle servent de garde-fou contre un élargissement indu et inconstitutionnel de la compétence fédérale au détriment de la compétence provinciale en matière de relations de travail. Il faut accorder le poids voulu à chaque élément du critère — et non seulement à l’importance d’un service pour l’entreprise fédérale — d’autant plus que la compétence dérivée s’applique à d’autres chefs de compétence fédérale au-delà du pouvoir déclaratoire. Dans l’arrêt </w:t>
      </w:r>
      <w:r w:rsidRPr="00B24801">
        <w:rPr>
          <w:rFonts w:cs="Times New Roman"/>
          <w:i/>
        </w:rPr>
        <w:t>Construction Montcalm</w:t>
      </w:r>
      <w:r w:rsidRPr="00B24801">
        <w:rPr>
          <w:rFonts w:cs="Times New Roman"/>
        </w:rPr>
        <w:t xml:space="preserve">, le juge Beetz a rejeté l’argument selon lequel l’entreprise provinciale de construction relevait de la compétence fédérale en matière aéronautique, en partie en raison du défaut de </w:t>
      </w:r>
      <w:r w:rsidRPr="00B24801">
        <w:rPr>
          <w:rFonts w:cs="Times New Roman"/>
        </w:rPr>
        <w:lastRenderedPageBreak/>
        <w:t xml:space="preserve">satisfaire à tous les critères de l’intégration fonctionnelle, qui limitaient à juste titre l’expansion supplémentaire et illégitime du pouvoir du Parlement en matière de P.O.B.G. En l’absence de tels critères remplissant une fonction limitative, le risque de perturbation de l’équilibre constitutionnel est réel. </w:t>
      </w:r>
      <w:bookmarkStart w:id="157" w:name="_Hlk244680545"/>
      <w:r w:rsidRPr="00B24801">
        <w:rPr>
          <w:rFonts w:cs="Times New Roman"/>
        </w:rPr>
        <w:t>Le critère de la compétence dérivée applicable aux relations de travail doit être appliqué avec rigueur en l’espèce, compte tenu de son caractère exceptionnel, faute de quoi on ouvrirait la porte à une compétence fédérale absolue sur le commerce du grain</w:t>
      </w:r>
      <w:bookmarkEnd w:id="157"/>
      <w:r w:rsidRPr="00B24801">
        <w:rPr>
          <w:rFonts w:cs="Times New Roman"/>
        </w:rPr>
        <w:t>.</w:t>
      </w:r>
    </w:p>
    <w:p w14:paraId="30476CB6" w14:textId="77777777" w:rsidR="007B47A0" w:rsidRPr="00B24801" w:rsidRDefault="007B47A0" w:rsidP="007B47A0">
      <w:pPr>
        <w:pStyle w:val="ParaNoNdepar-AltN"/>
        <w:tabs>
          <w:tab w:val="clear" w:pos="1152"/>
          <w:tab w:val="left" w:pos="1166"/>
        </w:tabs>
        <w:rPr>
          <w:rFonts w:cs="Times New Roman"/>
        </w:rPr>
      </w:pPr>
      <w:r w:rsidRPr="00B24801">
        <w:rPr>
          <w:rFonts w:cs="Times New Roman"/>
        </w:rPr>
        <w:t>Devant notre Cour, SGS invoque la conclusion de la Cour d’appel selon laquelle les services de SGS font partie « du contenu essentiel » du pouvoir du Parlement de faire valoir un nouveau fondement de la compétence fédérale sur les relations de travail de SGS, fondement distinct de la compétence directe et de la compétence dérivée (motifs de la C.A., par. 70 et 97). SGS soutient que la compétence provinciale à l’égard des relations de travail de ses 14 employés « constituerait un empiètement et une entrave au contenu essentiel de la compétence fédérale sur l’ouvrage » (</w:t>
      </w:r>
      <w:proofErr w:type="spellStart"/>
      <w:r w:rsidRPr="00B24801">
        <w:rPr>
          <w:rFonts w:cs="Times New Roman"/>
        </w:rPr>
        <w:t>m.i</w:t>
      </w:r>
      <w:proofErr w:type="spellEnd"/>
      <w:r w:rsidRPr="00B24801">
        <w:rPr>
          <w:rFonts w:cs="Times New Roman"/>
        </w:rPr>
        <w:t>., par. 113).</w:t>
      </w:r>
    </w:p>
    <w:p w14:paraId="3F2254EA" w14:textId="77777777" w:rsidR="007B47A0" w:rsidRPr="00B24801" w:rsidRDefault="007B47A0" w:rsidP="007B47A0">
      <w:pPr>
        <w:pStyle w:val="ParaNoNdepar-AltN"/>
        <w:tabs>
          <w:tab w:val="clear" w:pos="1152"/>
          <w:tab w:val="left" w:pos="1166"/>
        </w:tabs>
        <w:rPr>
          <w:rFonts w:cs="Times New Roman"/>
        </w:rPr>
      </w:pPr>
      <w:r w:rsidRPr="00B24801">
        <w:rPr>
          <w:rFonts w:cs="Times New Roman"/>
        </w:rPr>
        <w:t>Cet argument semble reposer sur la doctrine de l’exclusivité des compétences. À mon avis, SGS recourt à un procédé qui ne trouve pas application dans le présent pourvoi afin de réduire encore davantage la portée de la compétence provinciale. Je suis d’accord avec l’appelant pour dire qu’« il n’existe pas de catégorie résiduaire » qui permettrait d’établir la compétence fédérale lorsque les conditions de la compétence directe et de la compétence dérivée ne sont pas remplies (</w:t>
      </w:r>
      <w:proofErr w:type="spellStart"/>
      <w:r w:rsidRPr="00B24801">
        <w:rPr>
          <w:rFonts w:cs="Times New Roman"/>
        </w:rPr>
        <w:t>m.r.a</w:t>
      </w:r>
      <w:proofErr w:type="spellEnd"/>
      <w:r w:rsidRPr="00B24801">
        <w:rPr>
          <w:rFonts w:cs="Times New Roman"/>
        </w:rPr>
        <w:t xml:space="preserve">., intertitre </w:t>
      </w:r>
      <w:r w:rsidRPr="00B24801">
        <w:rPr>
          <w:rFonts w:cs="Times New Roman"/>
        </w:rPr>
        <w:lastRenderedPageBreak/>
        <w:t xml:space="preserve">précédant le par. 6). Dans l’arrêt </w:t>
      </w:r>
      <w:r w:rsidRPr="00B24801">
        <w:rPr>
          <w:rFonts w:cs="Times New Roman"/>
          <w:i/>
        </w:rPr>
        <w:t>Bell</w:t>
      </w:r>
      <w:r w:rsidRPr="00B24801">
        <w:rPr>
          <w:rFonts w:cs="Times New Roman"/>
        </w:rPr>
        <w:t xml:space="preserve">, le juge Beetz s’est appuyé sur la doctrine pour décider de l’applicabilité, à l’égard d’une entreprise fédérale, de la législation provinciale sur le travail. La jurisprudence subséquente a depuis défini la compétence directe et la compétence dérivée en tant que cadre d’analyse, lequel peut être compris comme une application structurée de la doctrine de l’exclusivité des compétences dans le contexte des relations de travail. </w:t>
      </w:r>
      <w:bookmarkStart w:id="158" w:name="_Hlk233824313"/>
      <w:r w:rsidRPr="00B24801">
        <w:rPr>
          <w:rFonts w:cs="Times New Roman"/>
        </w:rPr>
        <w:t xml:space="preserve">La prémisse sur laquelle repose l’arrêt </w:t>
      </w:r>
      <w:r w:rsidRPr="00B24801">
        <w:rPr>
          <w:rFonts w:cs="Times New Roman"/>
          <w:i/>
        </w:rPr>
        <w:t>Bell</w:t>
      </w:r>
      <w:r w:rsidRPr="00B24801">
        <w:rPr>
          <w:rFonts w:cs="Times New Roman"/>
        </w:rPr>
        <w:t>, selon laquelle les relations de travail font intrinsèquement partie d’une entreprise, si bien que la compétence sur l’entreprise emporte nécessairement compétence sur ses relations de travail</w:t>
      </w:r>
      <w:bookmarkEnd w:id="158"/>
      <w:r w:rsidRPr="00B24801">
        <w:rPr>
          <w:rFonts w:cs="Times New Roman"/>
        </w:rPr>
        <w:t>, ne constitue pas un fondement distinct pour étendre la compétence fédérale en matière de relations de travail.</w:t>
      </w:r>
    </w:p>
    <w:p w14:paraId="232063D6" w14:textId="77777777" w:rsidR="007B47A0" w:rsidRPr="00B24801" w:rsidRDefault="007B47A0" w:rsidP="007B47A0">
      <w:pPr>
        <w:pStyle w:val="ParaNoNdepar-AltN"/>
        <w:tabs>
          <w:tab w:val="clear" w:pos="1152"/>
          <w:tab w:val="left" w:pos="1166"/>
        </w:tabs>
        <w:rPr>
          <w:rFonts w:cs="Times New Roman"/>
        </w:rPr>
      </w:pPr>
      <w:bookmarkStart w:id="159" w:name="_Ref242797704"/>
      <w:r w:rsidRPr="00B24801">
        <w:rPr>
          <w:rFonts w:cs="Times New Roman"/>
        </w:rPr>
        <w:t xml:space="preserve">Pour conclure, la compétence dérivée n’existe que lorsqu’une entreprise provinciale est intégrée à l’entreprise fédérale au point d’en « perdre son caractère distinct ». Le critère de l’intégration fonctionnelle exige d’abord l’identification d’une seule entreprise fédérale desservie par l’entreprise provinciale. Il met ensuite l’accent sur l’examen de la relation entre les deux entreprises. </w:t>
      </w:r>
      <w:bookmarkStart w:id="160" w:name="_Hlk244680116"/>
      <w:r w:rsidRPr="00B24801">
        <w:rPr>
          <w:rFonts w:cs="Times New Roman"/>
        </w:rPr>
        <w:t>Dans certains cas, une partie peut affirmer qu’un groupe d’employés de l’entreprise provinciale forme une « unité fonctionnelle particulière</w:t>
      </w:r>
      <w:bookmarkEnd w:id="160"/>
      <w:r w:rsidRPr="00B24801">
        <w:rPr>
          <w:rFonts w:cs="Times New Roman"/>
        </w:rPr>
        <w:t xml:space="preserve"> ». Toutefois, le caractère fonctionnel particulier d’une unité faisant partie d’une entreprise provinciale découle de son intégration à l’entreprise fédérale qu’elle dessert. Par conséquent, </w:t>
      </w:r>
      <w:bookmarkStart w:id="161" w:name="_Hlk244680213"/>
      <w:r w:rsidRPr="00B24801">
        <w:rPr>
          <w:rFonts w:cs="Times New Roman"/>
        </w:rPr>
        <w:t>que l’entreprise provinciale dans son ensemble ou une partie de celle-ci soit en cause, l’analyse demeure la même</w:t>
      </w:r>
      <w:bookmarkEnd w:id="161"/>
      <w:r w:rsidRPr="00B24801">
        <w:rPr>
          <w:rFonts w:cs="Times New Roman"/>
        </w:rPr>
        <w:t xml:space="preserve"> : il faut tenir compte à la fois de la perspective de l’entreprise fédérale et de celle de l’entreprise provinciale. </w:t>
      </w:r>
      <w:bookmarkStart w:id="162" w:name="_Hlk244680333"/>
      <w:r w:rsidRPr="00B24801">
        <w:rPr>
          <w:rFonts w:cs="Times New Roman"/>
        </w:rPr>
        <w:t xml:space="preserve">Ce n’est qu’en appréciant, d’une part, la dépendance de l’entreprise fédérale à l’égard </w:t>
      </w:r>
      <w:r w:rsidRPr="00B24801">
        <w:rPr>
          <w:rFonts w:cs="Times New Roman"/>
        </w:rPr>
        <w:lastRenderedPageBreak/>
        <w:t>des services fournis par l’unité d’employés projetée ou par l’entreprise provinciale dans son ensemble et, d’autre part, le caractère prédominant de ces services pour l’unité ou pour l’ensemble des opérations de l’entreprise provinciale, que l’intégration fonctionnelle pourra être établie de manière à justifier l’existence d’une compétence fédérale dérivée</w:t>
      </w:r>
      <w:bookmarkEnd w:id="162"/>
      <w:r w:rsidRPr="00B24801">
        <w:rPr>
          <w:rFonts w:cs="Times New Roman"/>
        </w:rPr>
        <w:t>.</w:t>
      </w:r>
      <w:bookmarkEnd w:id="159"/>
    </w:p>
    <w:p w14:paraId="2CA2BF84" w14:textId="77777777" w:rsidR="007B47A0" w:rsidRPr="00B24801" w:rsidRDefault="007B47A0" w:rsidP="007B47A0">
      <w:pPr>
        <w:pStyle w:val="Title1LevelTitre1Niveau-AltL"/>
        <w:numPr>
          <w:ilvl w:val="0"/>
          <w:numId w:val="21"/>
        </w:numPr>
        <w:ind w:left="578" w:hanging="578"/>
        <w:jc w:val="both"/>
        <w:rPr>
          <w:rFonts w:cs="Times New Roman"/>
        </w:rPr>
      </w:pPr>
      <w:bookmarkStart w:id="163" w:name="_Toc231953056"/>
      <w:bookmarkStart w:id="164" w:name="_Toc232027339"/>
      <w:bookmarkStart w:id="165" w:name="_Toc232617612"/>
      <w:bookmarkStart w:id="166" w:name="_Toc233556393"/>
      <w:bookmarkStart w:id="167" w:name="_Toc233853045"/>
      <w:bookmarkStart w:id="168" w:name="_Toc233980584"/>
      <w:bookmarkStart w:id="169" w:name="_Toc242797536"/>
      <w:r w:rsidRPr="00B24801">
        <w:rPr>
          <w:rFonts w:cs="Times New Roman"/>
        </w:rPr>
        <w:t>Application</w:t>
      </w:r>
      <w:bookmarkEnd w:id="163"/>
      <w:bookmarkEnd w:id="164"/>
      <w:bookmarkEnd w:id="165"/>
      <w:bookmarkEnd w:id="166"/>
      <w:bookmarkEnd w:id="167"/>
      <w:bookmarkEnd w:id="168"/>
      <w:bookmarkEnd w:id="169"/>
    </w:p>
    <w:p w14:paraId="7A99FC52" w14:textId="77777777" w:rsidR="007B47A0" w:rsidRPr="00B24801" w:rsidRDefault="007B47A0" w:rsidP="007B47A0">
      <w:pPr>
        <w:pStyle w:val="ParaNoNdepar-AltN"/>
        <w:rPr>
          <w:rFonts w:cs="Times New Roman"/>
        </w:rPr>
      </w:pPr>
      <w:bookmarkStart w:id="170" w:name="_Ref233556493"/>
      <w:bookmarkStart w:id="171" w:name="_Ref244763159"/>
      <w:bookmarkStart w:id="172" w:name="_Ref231953180"/>
      <w:r w:rsidRPr="00B24801">
        <w:rPr>
          <w:rFonts w:cs="Times New Roman"/>
        </w:rPr>
        <w:t>En ce qui a trait aux questions constitutionnelles découlant d’une décision soumise à un contrôle judiciaire, telles que la question du partage des compétences entre le Parlement et les législatures provinciales soulevée en l’espèce, la norme de contrôle applicable est celle de la décision correcte (</w:t>
      </w:r>
      <w:r w:rsidRPr="00B24801">
        <w:rPr>
          <w:rFonts w:cs="Times New Roman"/>
          <w:i/>
        </w:rPr>
        <w:t>Canada (Ministre de la Citoyenneté et de l’Immigration) c. Vavilov</w:t>
      </w:r>
      <w:r w:rsidRPr="00B24801">
        <w:rPr>
          <w:rFonts w:cs="Times New Roman"/>
        </w:rPr>
        <w:t>, 2019 CSC 65, [2019] 4 R.C.S. 653, par. 55).</w:t>
      </w:r>
      <w:bookmarkEnd w:id="170"/>
      <w:r w:rsidRPr="00B24801">
        <w:rPr>
          <w:rFonts w:cs="Times New Roman"/>
        </w:rPr>
        <w:t xml:space="preserve"> Bien que les conclusions de fait tirées par le Tribunal commandent la déférence, si les faits ont été mal appliqués en raison d’erreurs de droit, la décision du Tribunal ne pourra être mise à l’abri d’un contrôle. </w:t>
      </w:r>
      <w:bookmarkStart w:id="173" w:name="_Hlk244680963"/>
      <w:r w:rsidRPr="00B24801">
        <w:rPr>
          <w:rFonts w:cs="Times New Roman"/>
        </w:rPr>
        <w:t xml:space="preserve">Les principes directeurs du droit constitutionnel tendent clairement à indiquer que la déclaration figurant au </w:t>
      </w:r>
      <w:proofErr w:type="spellStart"/>
      <w:r w:rsidRPr="00B24801">
        <w:rPr>
          <w:rFonts w:cs="Times New Roman"/>
        </w:rPr>
        <w:t>par</w:t>
      </w:r>
      <w:proofErr w:type="spellEnd"/>
      <w:r w:rsidRPr="00B24801">
        <w:rPr>
          <w:rFonts w:cs="Times New Roman"/>
        </w:rPr>
        <w:t xml:space="preserve">. 55(1) de la </w:t>
      </w:r>
      <w:r w:rsidRPr="00B24801">
        <w:rPr>
          <w:rFonts w:cs="Times New Roman"/>
          <w:i/>
        </w:rPr>
        <w:t>Loi sur les grains du Canada</w:t>
      </w:r>
      <w:r w:rsidRPr="00B24801">
        <w:rPr>
          <w:rFonts w:cs="Times New Roman"/>
          <w:i/>
          <w:iCs/>
        </w:rPr>
        <w:t xml:space="preserve"> </w:t>
      </w:r>
      <w:r w:rsidRPr="00B24801">
        <w:rPr>
          <w:rFonts w:cs="Times New Roman"/>
        </w:rPr>
        <w:t>ne fonde aucune compétence fédérale en matière de relations de travail à l’égard des employés de SGS concernés, que ce soit au titre de la compétence « directe » ou de la compétence « dérivée »</w:t>
      </w:r>
      <w:bookmarkEnd w:id="173"/>
      <w:r w:rsidRPr="00B24801">
        <w:rPr>
          <w:rFonts w:cs="Times New Roman"/>
        </w:rPr>
        <w:t>.</w:t>
      </w:r>
      <w:bookmarkEnd w:id="171"/>
    </w:p>
    <w:p w14:paraId="0071E009" w14:textId="77777777" w:rsidR="007B47A0" w:rsidRPr="00B24801" w:rsidRDefault="007B47A0" w:rsidP="007B47A0">
      <w:pPr>
        <w:pStyle w:val="ParaNoNdepar-AltN"/>
        <w:rPr>
          <w:rFonts w:cs="Times New Roman"/>
        </w:rPr>
      </w:pPr>
      <w:r w:rsidRPr="00B24801">
        <w:rPr>
          <w:rFonts w:cs="Times New Roman"/>
        </w:rPr>
        <w:t xml:space="preserve">À mon humble avis, la Cour d’appel a utilisé le mauvais critère juridique en concluant que la compétence directe s’appliquait. Au lieu de se demander si SGS elle-même était une entreprise fédérale parce qu’elle exploitait l’un ou l’autre des silos </w:t>
      </w:r>
      <w:r w:rsidRPr="00B24801">
        <w:rPr>
          <w:rFonts w:cs="Times New Roman"/>
        </w:rPr>
        <w:lastRenderedPageBreak/>
        <w:t xml:space="preserve">à grains visés par une déclaration du législateur fédéral, elle s’est demandé si SGS fournissait un service qui était « fonctionnellement nécessaire et essentiel au déroulement des activités de l’ouvrage » (par. 84). Il s’agit d’une erreur de droit susceptible de contrôle selon la norme de la décision correcte. </w:t>
      </w:r>
    </w:p>
    <w:p w14:paraId="2BAC71B1" w14:textId="77777777" w:rsidR="007B47A0" w:rsidRPr="00B24801" w:rsidRDefault="007B47A0" w:rsidP="007B47A0">
      <w:pPr>
        <w:pStyle w:val="ParaNoNdepar-AltN"/>
        <w:rPr>
          <w:rFonts w:cs="Times New Roman"/>
        </w:rPr>
      </w:pPr>
      <w:bookmarkStart w:id="174" w:name="_Ref242797710"/>
      <w:r w:rsidRPr="00B24801">
        <w:rPr>
          <w:rFonts w:cs="Times New Roman"/>
        </w:rPr>
        <w:t>En ce qui concerne la compétence dérivée, la conclusion de la Cour d’appel dénote également l’application d’une norme juridique erronée. La question qu’il convenait de se poser était celle de savoir si, du point de vue des deux entreprises, SGS, l’entreprise provinciale, avait perdu son identité distincte en étant « fonctionnellement intégrée » à une seule entreprise fédérale. Ni le fait que les 14 employés de SGS consacrent 90 p. 100 de leur temps au total à six silos à grains visés par une déclaration du législateur fédéral, ni le fait que SGS occupe 80 p. 100 du marché canadien de la vérification des grains ne justifient l’inférence selon laquelle SGS est fonctionnellement intégrée à l’un ou l’autre des six terminaux. Il importe peu que l’intégration fonctionnelle soit évaluée en fonction de SGS dans son ensemble, ou en fonction de la Division agriculture et agroalimentaire ou de la seule succursale de Montréal. Dans tous ces cas de figure, l’absence de preuve démontrant que SGS a perdu son identité distincte signifie que la conclusion d’application de la compétence dérivée était une erreur de droit susceptible de contrôle selon la norme de la décision correcte.</w:t>
      </w:r>
      <w:bookmarkEnd w:id="174"/>
    </w:p>
    <w:p w14:paraId="11926487" w14:textId="77777777" w:rsidR="007B47A0" w:rsidRPr="00B24801" w:rsidRDefault="007B47A0" w:rsidP="007B47A0">
      <w:pPr>
        <w:pStyle w:val="Title2LevelTitre2Niveau"/>
        <w:numPr>
          <w:ilvl w:val="1"/>
          <w:numId w:val="21"/>
        </w:numPr>
        <w:jc w:val="both"/>
        <w:rPr>
          <w:rFonts w:cs="Times New Roman"/>
        </w:rPr>
      </w:pPr>
      <w:bookmarkStart w:id="175" w:name="_Toc231953057"/>
      <w:bookmarkStart w:id="176" w:name="_Toc232027340"/>
      <w:bookmarkStart w:id="177" w:name="_Toc232617613"/>
      <w:bookmarkStart w:id="178" w:name="_Toc233556396"/>
      <w:bookmarkStart w:id="179" w:name="_Toc233853046"/>
      <w:bookmarkStart w:id="180" w:name="_Toc233980585"/>
      <w:bookmarkStart w:id="181" w:name="_Toc242797537"/>
      <w:bookmarkEnd w:id="172"/>
      <w:r w:rsidRPr="00B24801">
        <w:rPr>
          <w:rFonts w:cs="Times New Roman"/>
        </w:rPr>
        <w:t>Les relations de travail des employés concernés de SGS ne relèvent pas de la compétence fédérale directe</w:t>
      </w:r>
      <w:bookmarkEnd w:id="175"/>
      <w:bookmarkEnd w:id="176"/>
      <w:bookmarkEnd w:id="177"/>
      <w:bookmarkEnd w:id="178"/>
      <w:bookmarkEnd w:id="179"/>
      <w:bookmarkEnd w:id="180"/>
      <w:bookmarkEnd w:id="181"/>
      <w:r w:rsidRPr="00B24801">
        <w:rPr>
          <w:rFonts w:cs="Times New Roman"/>
        </w:rPr>
        <w:t xml:space="preserve"> </w:t>
      </w:r>
    </w:p>
    <w:p w14:paraId="38274A20" w14:textId="77777777" w:rsidR="007B47A0" w:rsidRPr="00B24801" w:rsidRDefault="007B47A0" w:rsidP="007B47A0">
      <w:pPr>
        <w:pStyle w:val="ParaNoNdepar-AltN"/>
        <w:rPr>
          <w:rFonts w:cs="Times New Roman"/>
        </w:rPr>
      </w:pPr>
      <w:bookmarkStart w:id="182" w:name="_Ref233556513"/>
      <w:bookmarkStart w:id="183" w:name="_Ref244763169"/>
      <w:r w:rsidRPr="00B24801">
        <w:rPr>
          <w:rFonts w:cs="Times New Roman"/>
        </w:rPr>
        <w:lastRenderedPageBreak/>
        <w:t>La déclaration faite par voie législative limite la portée de la compétence directe. Rappelons que la compétence du Parlement sur un ouvrage ne s’étend aux exploitants que pour permettre au Parlement d’exercer le « pouvoir [. . .] de gérer et de contrôler l’ouvrage » (</w:t>
      </w:r>
      <w:r w:rsidRPr="00B24801">
        <w:rPr>
          <w:rFonts w:cs="Times New Roman"/>
          <w:i/>
        </w:rPr>
        <w:t>Ontario Hydro</w:t>
      </w:r>
      <w:r w:rsidRPr="00B24801">
        <w:rPr>
          <w:rFonts w:cs="Times New Roman"/>
        </w:rPr>
        <w:t xml:space="preserve">, p. 368). En l’espèce, le Parlement a exercé son pouvoir déclaratoire à l’égard des silos à grains, et ce pouvoir s’étend aux exploitants de silos à grains, et non à quiconque participe au commerce du grain dans son ensemble. Bien que le juge Duff dans l’arrêt </w:t>
      </w:r>
      <w:r w:rsidRPr="00B24801">
        <w:rPr>
          <w:rFonts w:cs="Times New Roman"/>
          <w:i/>
        </w:rPr>
        <w:t xml:space="preserve">Eastern Terminal </w:t>
      </w:r>
      <w:proofErr w:type="spellStart"/>
      <w:r w:rsidRPr="00B24801">
        <w:rPr>
          <w:rFonts w:cs="Times New Roman"/>
          <w:i/>
        </w:rPr>
        <w:t>Elevator</w:t>
      </w:r>
      <w:proofErr w:type="spellEnd"/>
      <w:r w:rsidRPr="00B24801">
        <w:rPr>
          <w:rFonts w:cs="Times New Roman"/>
          <w:i/>
        </w:rPr>
        <w:t xml:space="preserve"> </w:t>
      </w:r>
      <w:r w:rsidRPr="00B24801">
        <w:rPr>
          <w:rFonts w:cs="Times New Roman"/>
        </w:rPr>
        <w:t xml:space="preserve">(p. 446) ait reconnu que le Parlement pouvait réglementer différents aspects du commerce du grain au titre de divers chefs de compétence, tels que le trafic et le commerce (par. 91(2)), les poids et mesures (par. 91(17)), ainsi que le transport interprovincial (al. 92(10)a)), le commerce du grain dans son ensemble n’a pas été confié au Parlement par la </w:t>
      </w:r>
      <w:r w:rsidRPr="00B24801">
        <w:rPr>
          <w:rFonts w:cs="Times New Roman"/>
          <w:i/>
        </w:rPr>
        <w:t>Loi constitutionnelle de 1867</w:t>
      </w:r>
      <w:r w:rsidRPr="00B24801">
        <w:rPr>
          <w:rFonts w:cs="Times New Roman"/>
        </w:rPr>
        <w:t>.</w:t>
      </w:r>
      <w:bookmarkEnd w:id="182"/>
      <w:r w:rsidRPr="00B24801">
        <w:rPr>
          <w:rFonts w:cs="Times New Roman"/>
        </w:rPr>
        <w:t xml:space="preserve"> En conséquence, la compétence fédérale à l’égard des transactions de </w:t>
      </w:r>
      <w:proofErr w:type="spellStart"/>
      <w:r w:rsidRPr="00B24801">
        <w:rPr>
          <w:rFonts w:cs="Times New Roman"/>
        </w:rPr>
        <w:t>Viterra</w:t>
      </w:r>
      <w:proofErr w:type="spellEnd"/>
      <w:r w:rsidRPr="00B24801">
        <w:rPr>
          <w:rFonts w:cs="Times New Roman"/>
        </w:rPr>
        <w:t xml:space="preserve"> sur les marchés national et international du grain se limite au pouvoir du Parlement de régir le commerce et l’exportation du grain en vertu de l’art. 91 de la </w:t>
      </w:r>
      <w:r w:rsidRPr="00B24801">
        <w:rPr>
          <w:rFonts w:cs="Times New Roman"/>
          <w:i/>
          <w:iCs/>
        </w:rPr>
        <w:t>Loi constitutionnelle de 1867</w:t>
      </w:r>
      <w:r w:rsidRPr="00B24801">
        <w:rPr>
          <w:rFonts w:cs="Times New Roman"/>
        </w:rPr>
        <w:t xml:space="preserve">. Cette compétence peut être exercée au moyen de l’adoption de mesures législatives comme la </w:t>
      </w:r>
      <w:r w:rsidRPr="00B24801">
        <w:rPr>
          <w:rFonts w:cs="Times New Roman"/>
          <w:i/>
        </w:rPr>
        <w:t>Loi sur les grains du Canada</w:t>
      </w:r>
      <w:r w:rsidRPr="00B24801">
        <w:rPr>
          <w:rFonts w:cs="Times New Roman"/>
        </w:rPr>
        <w:t>, de l’établissement, par la Commission, de normes et de procédures conformes à sa mission « d’[. . .] assurer la fiabilité [des grains] sur les marchés intérieur et extérieur » (</w:t>
      </w:r>
      <w:r w:rsidRPr="00B24801">
        <w:rPr>
          <w:rFonts w:cs="Times New Roman"/>
          <w:i/>
        </w:rPr>
        <w:t>Loi sur les grains du Canada</w:t>
      </w:r>
      <w:r w:rsidRPr="00B24801">
        <w:rPr>
          <w:rFonts w:cs="Times New Roman"/>
        </w:rPr>
        <w:t>, art. 13 et al. 14(1)b)), ou encore, de l’utilisation du pouvoir ciblé que lui confère l’al. 92(10)c) d’étendre sa compétence aux silos à grains et aux entreprises limitées qui les exploitent.</w:t>
      </w:r>
      <w:bookmarkEnd w:id="183"/>
    </w:p>
    <w:p w14:paraId="56537CDC" w14:textId="77777777" w:rsidR="007B47A0" w:rsidRPr="00B24801" w:rsidRDefault="007B47A0" w:rsidP="007B47A0">
      <w:pPr>
        <w:pStyle w:val="ParaNoNdepar-AltN"/>
        <w:rPr>
          <w:rFonts w:eastAsia="Times New Roman" w:cs="Times New Roman"/>
          <w:lang w:eastAsia="fr-CA"/>
        </w:rPr>
      </w:pPr>
      <w:r w:rsidRPr="00B24801">
        <w:rPr>
          <w:rFonts w:cs="Times New Roman"/>
        </w:rPr>
        <w:lastRenderedPageBreak/>
        <w:t>Avec égards, la Cour d’appel a conclu à tort que les relations de travail des 14 employés de SGS faisaient partie du « contenu essentiel de la compétence fédérale composite sur les grains » (par. 97). Aucun des chefs de compétence en question ne fait en sorte que SGS, en tant qu’entreprise, relève de la compétence fédérale simplement parce qu’elle fournit des services qui s’inscrivent dans la portée de la réglementation fédérale (</w:t>
      </w:r>
      <w:r w:rsidRPr="00B24801">
        <w:rPr>
          <w:rFonts w:cs="Times New Roman"/>
          <w:i/>
        </w:rPr>
        <w:t>Dionne</w:t>
      </w:r>
      <w:r w:rsidRPr="00B24801">
        <w:rPr>
          <w:rFonts w:cs="Times New Roman"/>
        </w:rPr>
        <w:t xml:space="preserve">, p. 200). </w:t>
      </w:r>
      <w:r w:rsidRPr="00B24801">
        <w:rPr>
          <w:rFonts w:eastAsia="Times New Roman" w:cs="Times New Roman"/>
          <w:lang w:eastAsia="fr-CA"/>
        </w:rPr>
        <w:t>La compétence directe découlant du pouvoir déclaratoire prévu à l’al. 92(10)c) s’applique aux entreprises qui exploitent les silos à grains visés par une déclaration du législateur fédéral. À mon humble avis, la Cour d’appel a également fait erreur en considérant l’aspect de l’« intégration » comme faisant partie de l’analyse de la compétence directe. Les services d’inspection des grains fournis par SGS, même s’ils étaient essentiels aux exploitants des silos à grains qu’elle dessert, ne faisaient pas pour autant de SGS une « exploitante »</w:t>
      </w:r>
      <w:r w:rsidRPr="00B24801">
        <w:rPr>
          <w:rFonts w:cs="Times New Roman"/>
        </w:rPr>
        <w:t xml:space="preserve">. </w:t>
      </w:r>
    </w:p>
    <w:p w14:paraId="5BE9F42A" w14:textId="77777777" w:rsidR="007B47A0" w:rsidRPr="00B24801" w:rsidRDefault="007B47A0" w:rsidP="007B47A0">
      <w:pPr>
        <w:pStyle w:val="ParaNoNdepar-AltN"/>
        <w:tabs>
          <w:tab w:val="clear" w:pos="1152"/>
          <w:tab w:val="left" w:pos="1166"/>
        </w:tabs>
        <w:rPr>
          <w:rFonts w:cs="Times New Roman"/>
        </w:rPr>
      </w:pPr>
      <w:r w:rsidRPr="00B24801">
        <w:rPr>
          <w:rFonts w:cs="Times New Roman"/>
        </w:rPr>
        <w:t xml:space="preserve">La </w:t>
      </w:r>
      <w:r w:rsidRPr="00B24801">
        <w:rPr>
          <w:rFonts w:cs="Times New Roman"/>
          <w:i/>
        </w:rPr>
        <w:t>Loi sur les grains du Canada</w:t>
      </w:r>
      <w:r w:rsidRPr="00B24801">
        <w:rPr>
          <w:rFonts w:cs="Times New Roman"/>
        </w:rPr>
        <w:t xml:space="preserve"> définit l’« exploitant » d’un silo à grains comme l’« [o]</w:t>
      </w:r>
      <w:proofErr w:type="spellStart"/>
      <w:r w:rsidRPr="00B24801">
        <w:rPr>
          <w:rFonts w:cs="Times New Roman"/>
        </w:rPr>
        <w:t>ccupant</w:t>
      </w:r>
      <w:proofErr w:type="spellEnd"/>
      <w:r w:rsidRPr="00B24801">
        <w:rPr>
          <w:rFonts w:cs="Times New Roman"/>
        </w:rPr>
        <w:t xml:space="preserve"> des locaux de l’installation, [. . .] aux termes d’un contrat d’exploitation, à son profit » (art. 2 « exploitant »). SGS n’est l’occupante d’aucun des silos à grains qu’elle dessert et n’est donc pas une « exploitante » au sens de cette définition (motifs du T.A.T., par. 27 et 98).</w:t>
      </w:r>
    </w:p>
    <w:p w14:paraId="3948CCD8" w14:textId="77777777" w:rsidR="007B47A0" w:rsidRPr="00B24801" w:rsidRDefault="007B47A0" w:rsidP="007B47A0">
      <w:pPr>
        <w:pStyle w:val="ParaNoNdepar-AltN"/>
        <w:tabs>
          <w:tab w:val="clear" w:pos="1152"/>
          <w:tab w:val="left" w:pos="1166"/>
        </w:tabs>
        <w:rPr>
          <w:rFonts w:cs="Times New Roman"/>
        </w:rPr>
      </w:pPr>
      <w:r w:rsidRPr="00B24801">
        <w:rPr>
          <w:rFonts w:cs="Times New Roman"/>
        </w:rPr>
        <w:t xml:space="preserve">La </w:t>
      </w:r>
      <w:r w:rsidRPr="00B24801">
        <w:rPr>
          <w:rFonts w:cs="Times New Roman"/>
          <w:iCs/>
        </w:rPr>
        <w:t>Loi</w:t>
      </w:r>
      <w:r w:rsidRPr="00B24801">
        <w:rPr>
          <w:rFonts w:cs="Times New Roman"/>
        </w:rPr>
        <w:t xml:space="preserve"> définit les installations situées dans la région de l’Est comme « les installations [. . .] équipées pour recevoir des grains [. . .] déchargés de wagons ou navires et pour leur chargement sur ces derniers » (art. 2 « installation ou silo » b)) qui servent, dans le cas des silos terminaux, comme celui du Port de Montréal, notamment </w:t>
      </w:r>
      <w:r w:rsidRPr="00B24801">
        <w:rPr>
          <w:rFonts w:cs="Times New Roman"/>
        </w:rPr>
        <w:lastRenderedPageBreak/>
        <w:t>« </w:t>
      </w:r>
      <w:r w:rsidRPr="00B24801">
        <w:rPr>
          <w:rFonts w:cs="Times New Roman"/>
          <w:szCs w:val="30"/>
          <w:shd w:val="clear" w:color="auto" w:fill="FFFFFF"/>
        </w:rPr>
        <w:t>au nettoyage, au stockage et au traitement de celui-ci avant expédition » (art. 2, « installation terminale ou silo terminal »)</w:t>
      </w:r>
      <w:r w:rsidRPr="00B24801">
        <w:rPr>
          <w:rFonts w:cs="Times New Roman"/>
        </w:rPr>
        <w:t xml:space="preserve">. Le Tribunal a fait remarquer qu’un silo à grains « sert à recevoir les grains, les accumuler dans des silos et les charger sur un navire pour être exportés » (par. 119). Il a également conclu que les exploitants de silos à grains, de par la nature de leurs activités, « reçoivent et accumulent dans divers silos des grains en provenance de différents endroits au Canada » (par. 76). Partant, il a tiré la conclusion de fait selon laquelle ce sont les clients de SGS, et non SGS, qui « exploitent des installations qui sont des terminaux à grains comprenant des élévateurs à grains » (par. 27). </w:t>
      </w:r>
      <w:proofErr w:type="spellStart"/>
      <w:r w:rsidRPr="00B24801">
        <w:rPr>
          <w:rFonts w:cs="Times New Roman"/>
        </w:rPr>
        <w:t>Viterra</w:t>
      </w:r>
      <w:proofErr w:type="spellEnd"/>
      <w:r w:rsidRPr="00B24801">
        <w:rPr>
          <w:rFonts w:cs="Times New Roman"/>
        </w:rPr>
        <w:t>, qui loue le terminal à grains du Port de Montréal, est une exploitante. SGS ne l’est pas.</w:t>
      </w:r>
    </w:p>
    <w:p w14:paraId="38E74F4A" w14:textId="77777777" w:rsidR="007B47A0" w:rsidRPr="00B24801" w:rsidRDefault="007B47A0" w:rsidP="007B47A0">
      <w:pPr>
        <w:pStyle w:val="ParaNoNdepar-AltN"/>
        <w:rPr>
          <w:rFonts w:cs="Times New Roman"/>
        </w:rPr>
      </w:pPr>
      <w:r w:rsidRPr="00B24801">
        <w:rPr>
          <w:rFonts w:cs="Times New Roman"/>
        </w:rPr>
        <w:t xml:space="preserve">En 2012, le Parlement a supprimé l’exigence que la Commission procède à la pesée et à l’inspection officielles du grain reçu au silo, et a plutôt transféré cette responsabilité et les coûts qui y sont associés aux exploitants. Toutefois, le Parlement a permis que soient déléguées les tâches de pesée et d’inspection incombant aux exploitants; à cet effet, il a attribué, sous le régime de la </w:t>
      </w:r>
      <w:r w:rsidRPr="00B24801">
        <w:rPr>
          <w:rFonts w:cs="Times New Roman"/>
          <w:iCs/>
        </w:rPr>
        <w:t>Loi</w:t>
      </w:r>
      <w:r w:rsidRPr="00B24801">
        <w:rPr>
          <w:rFonts w:cs="Times New Roman"/>
        </w:rPr>
        <w:t xml:space="preserve">, un rôle précis aux sociétés tierces qui, comme SGS, fournissent des services d’inspection des grains. Ainsi, l’exploitant d’un silo à grains titulaire d’une licence doit, entre autres obligations légales, embaucher un tiers pour inspecter le grain qui entre dans le silo et qui en sort, si la personne qui a fait livrer le grain ou l’exploitant d’une autre installation agréée à laquelle le grain </w:t>
      </w:r>
      <w:proofErr w:type="gramStart"/>
      <w:r w:rsidRPr="00B24801">
        <w:rPr>
          <w:rFonts w:cs="Times New Roman"/>
        </w:rPr>
        <w:t>est</w:t>
      </w:r>
      <w:proofErr w:type="gramEnd"/>
      <w:r w:rsidRPr="00B24801">
        <w:rPr>
          <w:rFonts w:cs="Times New Roman"/>
        </w:rPr>
        <w:t xml:space="preserve"> destiné en fait la demande (par. 69.1(2), 70(2) et 70.3(3)).</w:t>
      </w:r>
    </w:p>
    <w:p w14:paraId="1CD9950A" w14:textId="77777777" w:rsidR="007B47A0" w:rsidRPr="00B24801" w:rsidRDefault="007B47A0" w:rsidP="007B47A0">
      <w:pPr>
        <w:pStyle w:val="ParaNoNdepar-AltN"/>
        <w:rPr>
          <w:rFonts w:cs="Times New Roman"/>
        </w:rPr>
      </w:pPr>
      <w:r w:rsidRPr="00B24801">
        <w:rPr>
          <w:rFonts w:cs="Times New Roman"/>
        </w:rPr>
        <w:lastRenderedPageBreak/>
        <w:t>SGS est actuellement l’un des cinq tiers fournisseurs de services d’inspection des grains agréés par la Commission (motifs du T.A.T., par. 30). Bien que SGS délivre des certificats qui sont importants pour le transport des grains, le pouvoir de délivrer les certificats requis pour l’exportation des grains appartient toujours exclusivement à la Commission (</w:t>
      </w:r>
      <w:r w:rsidRPr="00B24801">
        <w:rPr>
          <w:rFonts w:cs="Times New Roman"/>
          <w:i/>
        </w:rPr>
        <w:t>ibid.</w:t>
      </w:r>
      <w:r w:rsidRPr="00B24801">
        <w:rPr>
          <w:rFonts w:cs="Times New Roman"/>
        </w:rPr>
        <w:t xml:space="preserve">, par. 34-35; </w:t>
      </w:r>
      <w:r w:rsidRPr="00B24801">
        <w:rPr>
          <w:rFonts w:cs="Times New Roman"/>
          <w:i/>
        </w:rPr>
        <w:t>Loi sur les grains du Canada</w:t>
      </w:r>
      <w:r w:rsidRPr="00B24801">
        <w:rPr>
          <w:rFonts w:cs="Times New Roman"/>
        </w:rPr>
        <w:t xml:space="preserve">, art. 15.1). Le Tribunal a conclu que les exploitants de silos à grains étaient des clients de SGS, lequel « est un organisme de contrôle et de surveillance indépendant [qui] remet les certificats de conformité en son nom propre » et qui agit à titre de tiers, et non au nom de ses clients (par. 46; </w:t>
      </w:r>
      <w:proofErr w:type="spellStart"/>
      <w:r w:rsidRPr="00B24801">
        <w:rPr>
          <w:rFonts w:cs="Times New Roman"/>
        </w:rPr>
        <w:t>d.a</w:t>
      </w:r>
      <w:proofErr w:type="spellEnd"/>
      <w:r w:rsidRPr="00B24801">
        <w:rPr>
          <w:rFonts w:cs="Times New Roman"/>
        </w:rPr>
        <w:t>., vol. II, p. 6 et 138).</w:t>
      </w:r>
    </w:p>
    <w:p w14:paraId="62375B3A" w14:textId="77777777" w:rsidR="007B47A0" w:rsidRPr="00B24801" w:rsidRDefault="007B47A0" w:rsidP="007B47A0">
      <w:pPr>
        <w:pStyle w:val="ParaNoNdepar-AltN"/>
        <w:rPr>
          <w:rFonts w:cs="Times New Roman"/>
        </w:rPr>
      </w:pPr>
      <w:r w:rsidRPr="00B24801">
        <w:rPr>
          <w:rFonts w:cs="Times New Roman"/>
        </w:rPr>
        <w:t xml:space="preserve">La relation contractuelle de SGS avec les exploitants de silos à grains — ses clients — résulte du choix de ces derniers de faire appel à elle, plutôt qu’à l’un de ses concurrents, en tant que tiers fournisseur de services (motifs du </w:t>
      </w:r>
      <w:r w:rsidRPr="00B24801">
        <w:rPr>
          <w:rFonts w:cs="Times New Roman"/>
          <w:caps/>
        </w:rPr>
        <w:t>T.a.t</w:t>
      </w:r>
      <w:r w:rsidRPr="00B24801">
        <w:rPr>
          <w:rFonts w:cs="Times New Roman"/>
        </w:rPr>
        <w:t xml:space="preserve">, par. 129; voir aussi </w:t>
      </w:r>
      <w:r w:rsidRPr="00B24801">
        <w:rPr>
          <w:rFonts w:cs="Times New Roman"/>
          <w:i/>
        </w:rPr>
        <w:t>Loi sur les grains du Canada</w:t>
      </w:r>
      <w:r w:rsidRPr="00B24801">
        <w:rPr>
          <w:rFonts w:cs="Times New Roman"/>
        </w:rPr>
        <w:t xml:space="preserve">, par. 70.2(2)). En cas de non-respect de l’exigence de faire inspecter le grain par un tiers autorisé, l’exploitant peut se voir infliger une pénalité par la Commission ou faire l’objet d’autres mesures d’application de la loi, y compris la suspension ou la révocation de sa licence (art. 70.1, 93 et 95). Toutefois, selon les dispositions de la </w:t>
      </w:r>
      <w:r w:rsidRPr="00B24801">
        <w:rPr>
          <w:rFonts w:cs="Times New Roman"/>
          <w:iCs/>
        </w:rPr>
        <w:t>Loi</w:t>
      </w:r>
      <w:r w:rsidRPr="00B24801">
        <w:rPr>
          <w:rFonts w:cs="Times New Roman"/>
        </w:rPr>
        <w:t xml:space="preserve"> concernant la pesée et l’inspection, l’exploitant peut également obtenir de la Commission un arrêté qui le dispense de ces exigences. SGS doit « suivre les méthodes, spécifications et formations exigées par la [Commission] » (motifs du T.A.T., par. 31; motifs de la C.A., par. 17). Il le fait parce que ses clients — les exploitants de silos à grains — doivent retenir les services d’un tiers autorisé pour inspecter le grain « de la façon autorisée par la Commission » (</w:t>
      </w:r>
      <w:r w:rsidRPr="00B24801">
        <w:rPr>
          <w:rFonts w:cs="Times New Roman"/>
          <w:i/>
        </w:rPr>
        <w:t xml:space="preserve">Loi </w:t>
      </w:r>
      <w:r w:rsidRPr="00B24801">
        <w:rPr>
          <w:rFonts w:cs="Times New Roman"/>
          <w:i/>
        </w:rPr>
        <w:lastRenderedPageBreak/>
        <w:t>sur les grains du Canada</w:t>
      </w:r>
      <w:r w:rsidRPr="00B24801">
        <w:rPr>
          <w:rFonts w:cs="Times New Roman"/>
        </w:rPr>
        <w:t>, par. 69.1(2), 70(2) et 70.3(3)). Voilà qui confirme l’idée que SGS, en tant que tiers fournisseur de services, conserve son indépendance par rapport à l’exploitant de l’ouvrage déclaré.</w:t>
      </w:r>
    </w:p>
    <w:p w14:paraId="00B39B90" w14:textId="77777777" w:rsidR="007B47A0" w:rsidRPr="00B24801" w:rsidRDefault="007B47A0" w:rsidP="007B47A0">
      <w:pPr>
        <w:pStyle w:val="ParaNoNdepar-AltN"/>
        <w:rPr>
          <w:rFonts w:cs="Times New Roman"/>
        </w:rPr>
      </w:pPr>
      <w:r w:rsidRPr="00B24801">
        <w:rPr>
          <w:rFonts w:cs="Times New Roman"/>
        </w:rPr>
        <w:t xml:space="preserve">La Commission établit les normes relatives à l’inspection des grains, de sorte que les services de SGS sont nécessaires à l’atteinte de l’objectif de la </w:t>
      </w:r>
      <w:r w:rsidRPr="00B24801">
        <w:rPr>
          <w:rFonts w:cs="Times New Roman"/>
          <w:iCs/>
        </w:rPr>
        <w:t>Loi</w:t>
      </w:r>
      <w:r w:rsidRPr="00B24801">
        <w:rPr>
          <w:rFonts w:cs="Times New Roman"/>
        </w:rPr>
        <w:t xml:space="preserve"> d’assurer « l’efficience du commerce interprovincial et international des grains » (motifs de la C.A., par. 97). Toutefois, les services d’inspection des grains que SGS fournit aux exploitants ne constituent pas une [</w:t>
      </w:r>
      <w:r w:rsidRPr="00B24801">
        <w:rPr>
          <w:rFonts w:cs="Times New Roman"/>
          <w:smallCaps/>
        </w:rPr>
        <w:t>traduction</w:t>
      </w:r>
      <w:r w:rsidRPr="00B24801">
        <w:rPr>
          <w:rFonts w:cs="Times New Roman"/>
        </w:rPr>
        <w:t xml:space="preserve">] « activité intrinsèquement fédérale » (comme le suggère l’avocate de l’intervenant le procureur général de l’Alberta; voir transcription, p. 121), car le Parlement n’a pas déclaré — et ne peut déclarer — que le commerce du grain dans son ensemble « [est] pour l’avantage général du Canada », au sens de l’al. 92(10)c). </w:t>
      </w:r>
      <w:r w:rsidRPr="00B24801">
        <w:rPr>
          <w:rFonts w:cs="Times New Roman"/>
          <w:szCs w:val="24"/>
        </w:rPr>
        <w:t xml:space="preserve">Le Parlement a renoncé à l’exercice de sa compétence fédérale à l’égard de certains services d’inspection lorsqu’en 2012, il a modifié la </w:t>
      </w:r>
      <w:r w:rsidRPr="00B24801">
        <w:rPr>
          <w:rFonts w:cs="Times New Roman"/>
          <w:iCs/>
          <w:szCs w:val="24"/>
        </w:rPr>
        <w:t xml:space="preserve">Loi </w:t>
      </w:r>
      <w:r w:rsidRPr="00B24801">
        <w:rPr>
          <w:rFonts w:cs="Times New Roman"/>
          <w:szCs w:val="24"/>
        </w:rPr>
        <w:t>pour permettre le recours à des prestataires tiers, pourvu qu’ils se conforment aux normes et aux règlements applicables. Le Parlement conserve néanmoins sa compétence fédérale à l’égard des « inspecteurs officiels » de la Commission, qui procèdent à la pesée et à l’inspection finales du grain afin d’en assurer la qualité avant son exportation.</w:t>
      </w:r>
      <w:r w:rsidRPr="00B24801">
        <w:rPr>
          <w:rFonts w:cs="Times New Roman"/>
        </w:rPr>
        <w:t xml:space="preserve"> En conséquence, les services d’inspection, d’analyse, de certification et de contrôle de la qualité fournis par des tiers dans l’industrie des grains constituent des activités de compétence provinciale. Interpréter la déclaration faite par voie législative de manière si large qu’elle comprendrait les services d’inspection des grains assurés par des tiers dans la portée de la compétence directe </w:t>
      </w:r>
      <w:r w:rsidRPr="00B24801">
        <w:rPr>
          <w:rFonts w:cs="Times New Roman"/>
        </w:rPr>
        <w:lastRenderedPageBreak/>
        <w:t>reviendrait à détourner le sens du terme « travaux » à l’al. 92(10)c) — en l’espèce, les silos à grains — en l’étendant au-delà de ce que permet la Constitution.</w:t>
      </w:r>
    </w:p>
    <w:p w14:paraId="05638E7A" w14:textId="77777777" w:rsidR="007B47A0" w:rsidRPr="00B24801" w:rsidRDefault="007B47A0" w:rsidP="007B47A0">
      <w:pPr>
        <w:pStyle w:val="ParaNoNdepar-AltN"/>
        <w:rPr>
          <w:rFonts w:cs="Times New Roman"/>
        </w:rPr>
      </w:pPr>
      <w:bookmarkStart w:id="184" w:name="_Ref242797732"/>
      <w:r w:rsidRPr="00B24801">
        <w:rPr>
          <w:rFonts w:cs="Times New Roman"/>
        </w:rPr>
        <w:t>Par conséquent, SGS, n’étant ni un ouvrage fédéral ni une entreprise fédérale en soi, ne relève pas de la compétence directe. La nature de ses « activités normales ou habituelles » est l’inspection des grains, ce qui en fait une entreprise provinciale (</w:t>
      </w:r>
      <w:r w:rsidRPr="00B24801">
        <w:rPr>
          <w:rFonts w:cs="Times New Roman"/>
          <w:i/>
        </w:rPr>
        <w:t>Construction Montcalm</w:t>
      </w:r>
      <w:r w:rsidRPr="00B24801">
        <w:rPr>
          <w:rFonts w:cs="Times New Roman"/>
        </w:rPr>
        <w:t>, p. 769).</w:t>
      </w:r>
      <w:bookmarkEnd w:id="184"/>
      <w:r w:rsidRPr="00B24801">
        <w:rPr>
          <w:rFonts w:cs="Times New Roman"/>
        </w:rPr>
        <w:t xml:space="preserve"> </w:t>
      </w:r>
    </w:p>
    <w:p w14:paraId="575D8369" w14:textId="77777777" w:rsidR="007B47A0" w:rsidRPr="00B24801" w:rsidRDefault="007B47A0" w:rsidP="007B47A0">
      <w:pPr>
        <w:pStyle w:val="Title2LevelTitre2Niveau"/>
        <w:numPr>
          <w:ilvl w:val="1"/>
          <w:numId w:val="21"/>
        </w:numPr>
        <w:jc w:val="both"/>
        <w:rPr>
          <w:rFonts w:cs="Times New Roman"/>
        </w:rPr>
      </w:pPr>
      <w:bookmarkStart w:id="185" w:name="_Toc231953058"/>
      <w:bookmarkStart w:id="186" w:name="_Toc232027341"/>
      <w:bookmarkStart w:id="187" w:name="_Toc232617614"/>
      <w:bookmarkStart w:id="188" w:name="_Toc233556397"/>
      <w:bookmarkStart w:id="189" w:name="_Toc233853047"/>
      <w:bookmarkStart w:id="190" w:name="_Toc233980586"/>
      <w:bookmarkStart w:id="191" w:name="_Toc242797538"/>
      <w:r w:rsidRPr="00B24801">
        <w:rPr>
          <w:rFonts w:cs="Times New Roman"/>
        </w:rPr>
        <w:t>Les relations de travail des employés concernés de SGS ne relèvent pas de la compétence fédérale dérivée</w:t>
      </w:r>
      <w:bookmarkEnd w:id="185"/>
      <w:bookmarkEnd w:id="186"/>
      <w:bookmarkEnd w:id="187"/>
      <w:bookmarkEnd w:id="188"/>
      <w:bookmarkEnd w:id="189"/>
      <w:bookmarkEnd w:id="190"/>
      <w:bookmarkEnd w:id="191"/>
    </w:p>
    <w:p w14:paraId="3987351C" w14:textId="77777777" w:rsidR="007B47A0" w:rsidRPr="00B24801" w:rsidRDefault="007B47A0" w:rsidP="007B47A0">
      <w:pPr>
        <w:pStyle w:val="ParaNoNdepar-AltN"/>
        <w:rPr>
          <w:rFonts w:cs="Times New Roman"/>
        </w:rPr>
      </w:pPr>
      <w:bookmarkStart w:id="192" w:name="_Ref233556517"/>
      <w:bookmarkStart w:id="193" w:name="_Ref232027455"/>
      <w:bookmarkStart w:id="194" w:name="_Hlk233489790"/>
      <w:bookmarkStart w:id="195" w:name="_Ref231953189"/>
      <w:r w:rsidRPr="00B24801">
        <w:rPr>
          <w:rFonts w:cs="Times New Roman"/>
        </w:rPr>
        <w:t>La compétence dérivée étend la compétence fédérale à une entreprise provinciale dans le cas où celle-ci est « fonctionnellement intégrée » à une entreprise fédérale qu’elle dessert au point d’en perdre son identité distincte. Sous le régime de l’al. 92(10)c), l’entreprise fédérale est limitée à l’exploitation de l’ouvrage déclaré. La première étape consiste à identifier une seule entreprise fédérale comme objet de l’analyse. Subsidiairement à son argument selon lequel les six silos à grains peuvent être considérés ensemble pour les besoins de l’analyse constitutionnelle — argument que la Cour d’appel et la Cour supérieure ont rejeté —, SGS exhorte notre Cour à examiner la question de l’intégration fonctionnelle en fonction du terminal à grains de Montréal (</w:t>
      </w:r>
      <w:proofErr w:type="spellStart"/>
      <w:r w:rsidRPr="00B24801">
        <w:rPr>
          <w:rFonts w:cs="Times New Roman"/>
        </w:rPr>
        <w:t>m.i</w:t>
      </w:r>
      <w:proofErr w:type="spellEnd"/>
      <w:r w:rsidRPr="00B24801">
        <w:rPr>
          <w:rFonts w:cs="Times New Roman"/>
        </w:rPr>
        <w:t xml:space="preserve">., par. 99 et 100). Je suis d’accord avec la Cour d’appel pour dire que </w:t>
      </w:r>
      <w:proofErr w:type="spellStart"/>
      <w:r w:rsidRPr="00B24801">
        <w:rPr>
          <w:rFonts w:cs="Times New Roman"/>
        </w:rPr>
        <w:t>Viterra</w:t>
      </w:r>
      <w:proofErr w:type="spellEnd"/>
      <w:r w:rsidRPr="00B24801">
        <w:rPr>
          <w:rFonts w:cs="Times New Roman"/>
        </w:rPr>
        <w:t>, à titre d’exploitante du silo à grains du Port de Montréal, devrait être considérée comme l’entreprise fédérale en cause dans cette analyse (motifs de la C.A., par. 105; motifs de la C.S., par. 51).</w:t>
      </w:r>
      <w:bookmarkEnd w:id="192"/>
      <w:r w:rsidRPr="00B24801">
        <w:rPr>
          <w:rFonts w:cs="Times New Roman"/>
        </w:rPr>
        <w:t xml:space="preserve"> </w:t>
      </w:r>
    </w:p>
    <w:p w14:paraId="130D4539" w14:textId="77777777" w:rsidR="007B47A0" w:rsidRPr="00B24801" w:rsidRDefault="007B47A0" w:rsidP="007B47A0">
      <w:pPr>
        <w:pStyle w:val="ParaNoNdepar-AltN"/>
        <w:rPr>
          <w:rFonts w:cs="Times New Roman"/>
        </w:rPr>
      </w:pPr>
      <w:r w:rsidRPr="00B24801">
        <w:rPr>
          <w:rFonts w:cs="Times New Roman"/>
        </w:rPr>
        <w:lastRenderedPageBreak/>
        <w:t>SGS avance comme argument principal — auquel le Tribunal a souscrit — qu’elle est fonctionnellement intégrée à l’ensemble des six terminaux à grains répartis le long du fleuve Saint-Laurent (</w:t>
      </w:r>
      <w:proofErr w:type="spellStart"/>
      <w:r w:rsidRPr="00B24801">
        <w:rPr>
          <w:rFonts w:cs="Times New Roman"/>
        </w:rPr>
        <w:t>m.i</w:t>
      </w:r>
      <w:proofErr w:type="spellEnd"/>
      <w:r w:rsidRPr="00B24801">
        <w:rPr>
          <w:rFonts w:cs="Times New Roman"/>
        </w:rPr>
        <w:t xml:space="preserve">., par. 99; motifs du T.A.T., par. 107). Je ne suis pas de cet avis. Selon la jurisprudence de notre Cour et de la Cour d’appel, une partie doit établir l’intégration fonctionnelle à une seule entreprise fédérale. Bien qu’il ne soit pas contesté que les 14 employés de SGS consacrent collectivement 90 p. 100 de leur temps à ces six terminaux (motifs du T.A.T., par. 123), </w:t>
      </w:r>
      <w:bookmarkStart w:id="196" w:name="_Hlk244693045"/>
      <w:r w:rsidRPr="00B24801">
        <w:rPr>
          <w:rFonts w:cs="Times New Roman"/>
        </w:rPr>
        <w:t xml:space="preserve">rien ne prouve que </w:t>
      </w:r>
      <w:bookmarkEnd w:id="196"/>
      <w:r w:rsidRPr="00B24801">
        <w:rPr>
          <w:rFonts w:cs="Times New Roman"/>
        </w:rPr>
        <w:t xml:space="preserve">SGS est fonctionnellement intégrée </w:t>
      </w:r>
      <w:bookmarkStart w:id="197" w:name="_Hlk244693119"/>
      <w:r w:rsidRPr="00B24801">
        <w:rPr>
          <w:rFonts w:cs="Times New Roman"/>
        </w:rPr>
        <w:t>à un terminal individuel</w:t>
      </w:r>
      <w:bookmarkEnd w:id="197"/>
      <w:r w:rsidRPr="00B24801">
        <w:rPr>
          <w:rFonts w:cs="Times New Roman"/>
        </w:rPr>
        <w:t xml:space="preserve">, puisque le Tribunal n’a tiré aucune conclusion sur la proportion du temps de travail attribuable à chacun des terminaux. Les six terminaux ne fonctionnent pas non plus comme un tout unifié d’une manière qui permettrait de dire que SGS a « perdu son caractère distinct » en raison d’une intégration fonctionnelle à l’ensemble de six terminaux. Bien au contraire, le dossier montre que des entreprises fédérales distinctes et rivales, dont </w:t>
      </w:r>
      <w:proofErr w:type="spellStart"/>
      <w:r w:rsidRPr="00B24801">
        <w:rPr>
          <w:rFonts w:cs="Times New Roman"/>
        </w:rPr>
        <w:t>Viterra</w:t>
      </w:r>
      <w:proofErr w:type="spellEnd"/>
      <w:r w:rsidRPr="00B24801">
        <w:rPr>
          <w:rFonts w:cs="Times New Roman"/>
        </w:rPr>
        <w:t xml:space="preserve">, Richardson, G3, Cargill et </w:t>
      </w:r>
      <w:proofErr w:type="spellStart"/>
      <w:r w:rsidRPr="00B24801">
        <w:rPr>
          <w:rFonts w:cs="Times New Roman"/>
        </w:rPr>
        <w:t>Sollio</w:t>
      </w:r>
      <w:proofErr w:type="spellEnd"/>
      <w:r w:rsidRPr="00B24801">
        <w:rPr>
          <w:rFonts w:cs="Times New Roman"/>
        </w:rPr>
        <w:t xml:space="preserve">, </w:t>
      </w:r>
      <w:bookmarkStart w:id="198" w:name="_Hlk244693560"/>
      <w:r w:rsidRPr="00B24801">
        <w:rPr>
          <w:rFonts w:cs="Times New Roman"/>
        </w:rPr>
        <w:t xml:space="preserve">exploitent les six terminaux de façon indépendante </w:t>
      </w:r>
      <w:bookmarkEnd w:id="198"/>
      <w:r w:rsidRPr="00B24801">
        <w:rPr>
          <w:rFonts w:cs="Times New Roman"/>
        </w:rPr>
        <w:t xml:space="preserve">(par. 27; </w:t>
      </w:r>
      <w:proofErr w:type="spellStart"/>
      <w:r w:rsidRPr="00B24801">
        <w:rPr>
          <w:rFonts w:cs="Times New Roman"/>
        </w:rPr>
        <w:t>m.i</w:t>
      </w:r>
      <w:proofErr w:type="spellEnd"/>
      <w:r w:rsidRPr="00B24801">
        <w:rPr>
          <w:rFonts w:cs="Times New Roman"/>
        </w:rPr>
        <w:t xml:space="preserve">., par. 52; </w:t>
      </w:r>
      <w:proofErr w:type="spellStart"/>
      <w:r w:rsidRPr="00B24801">
        <w:rPr>
          <w:rFonts w:cs="Times New Roman"/>
        </w:rPr>
        <w:t>d.a</w:t>
      </w:r>
      <w:proofErr w:type="spellEnd"/>
      <w:r w:rsidRPr="00B24801">
        <w:rPr>
          <w:rFonts w:cs="Times New Roman"/>
        </w:rPr>
        <w:t xml:space="preserve">., vol. IV, p. 22 et 76). Si une seule entreprise avait exploité les six silos comme une entreprise active, on pourrait soutenir que ces silos constituent une exploitation centralisée. S’ils avaient tous été exploités par </w:t>
      </w:r>
      <w:proofErr w:type="spellStart"/>
      <w:r w:rsidRPr="00B24801">
        <w:rPr>
          <w:rFonts w:cs="Times New Roman"/>
        </w:rPr>
        <w:t>Viterra</w:t>
      </w:r>
      <w:proofErr w:type="spellEnd"/>
      <w:r w:rsidRPr="00B24801">
        <w:rPr>
          <w:rFonts w:cs="Times New Roman"/>
        </w:rPr>
        <w:t xml:space="preserve"> ou par un même consortium de sociétés, la situation aurait pu être différente. L’intégration fonctionnelle aurait alors pu être établie en ce qui a trait aux six silos considérés collectivement. Mais tel n’est pas le cas en l’espèce : les silos sont gérés par des exploitants rivaux. On ne saurait affirmer que SGS a perdu son identité distincte en tant qu’entreprise provinciale simultanément par rapport à six entreprises fédérales rivales.</w:t>
      </w:r>
    </w:p>
    <w:p w14:paraId="7F254B35" w14:textId="77777777" w:rsidR="007B47A0" w:rsidRPr="00B24801" w:rsidRDefault="007B47A0" w:rsidP="007B47A0">
      <w:pPr>
        <w:pStyle w:val="ParaNoNdepar-AltN"/>
        <w:rPr>
          <w:rFonts w:cs="Times New Roman"/>
        </w:rPr>
      </w:pPr>
      <w:r w:rsidRPr="00B24801">
        <w:rPr>
          <w:rFonts w:cs="Times New Roman"/>
        </w:rPr>
        <w:lastRenderedPageBreak/>
        <w:t>SGS avance que « ces ouvrages peuvent être considérés de manière individuelle ou collective aux fins de l’analyse constitutionnelle », en s’appuyant sur le fait qu’il est écrit, dans la version française de l’art. 55 : « </w:t>
      </w:r>
      <w:r w:rsidRPr="00B24801">
        <w:rPr>
          <w:rFonts w:cs="Times New Roman"/>
          <w:u w:val="single"/>
        </w:rPr>
        <w:t>collectivement et séparément</w:t>
      </w:r>
      <w:r w:rsidRPr="00B24801">
        <w:rPr>
          <w:rFonts w:cs="Times New Roman"/>
        </w:rPr>
        <w:t>, des ouvrages à l’avantage général du Canada » (</w:t>
      </w:r>
      <w:proofErr w:type="spellStart"/>
      <w:r w:rsidRPr="00B24801">
        <w:rPr>
          <w:rFonts w:cs="Times New Roman"/>
        </w:rPr>
        <w:t>m.i</w:t>
      </w:r>
      <w:proofErr w:type="spellEnd"/>
      <w:r w:rsidRPr="00B24801">
        <w:rPr>
          <w:rFonts w:cs="Times New Roman"/>
        </w:rPr>
        <w:t>., par. 93 (souligné dans l’original)). Cette observation dénote une mauvaise compréhension du rôle de la déclaration en ce qui concerne la compétence dérivée. Le mot « collectivement » ne change pas le caractère constitutionnel du critère de l’intégration fonctionnelle; il indique simplement la pleine portée des ouvrages assujettis à la compétence fédérale.</w:t>
      </w:r>
    </w:p>
    <w:bookmarkEnd w:id="193"/>
    <w:bookmarkEnd w:id="194"/>
    <w:p w14:paraId="54C33699" w14:textId="77777777" w:rsidR="007B47A0" w:rsidRPr="00B24801" w:rsidRDefault="007B47A0" w:rsidP="007B47A0">
      <w:pPr>
        <w:pStyle w:val="ParaNoNdepar-AltN"/>
        <w:tabs>
          <w:tab w:val="clear" w:pos="1152"/>
          <w:tab w:val="left" w:pos="1134"/>
        </w:tabs>
        <w:rPr>
          <w:rFonts w:cs="Times New Roman"/>
        </w:rPr>
      </w:pPr>
      <w:r w:rsidRPr="00B24801">
        <w:rPr>
          <w:rFonts w:cs="Times New Roman"/>
        </w:rPr>
        <w:t>Il est également vrai qu’en l’espèce, le Parlement a exercé le pouvoir déclaratoire que lui confère l’al. 92(10)c) à l’égard de « [t]</w:t>
      </w:r>
      <w:proofErr w:type="spellStart"/>
      <w:r w:rsidRPr="00B24801">
        <w:rPr>
          <w:rFonts w:cs="Times New Roman"/>
        </w:rPr>
        <w:t>outes</w:t>
      </w:r>
      <w:proofErr w:type="spellEnd"/>
      <w:r w:rsidRPr="00B24801">
        <w:rPr>
          <w:rFonts w:cs="Times New Roman"/>
        </w:rPr>
        <w:t xml:space="preserve"> les installations » (</w:t>
      </w:r>
      <w:r w:rsidRPr="00B24801">
        <w:rPr>
          <w:rFonts w:cs="Times New Roman"/>
          <w:i/>
        </w:rPr>
        <w:t>Loi sur les grains du Canada</w:t>
      </w:r>
      <w:r w:rsidRPr="00B24801">
        <w:rPr>
          <w:rFonts w:cs="Times New Roman"/>
        </w:rPr>
        <w:t xml:space="preserve">, par. 55(1)), y compris celles qui n’existent pas encore (voir </w:t>
      </w:r>
      <w:r w:rsidRPr="00B24801">
        <w:rPr>
          <w:rFonts w:cs="Times New Roman"/>
          <w:i/>
        </w:rPr>
        <w:t>Jorgenson</w:t>
      </w:r>
      <w:r w:rsidRPr="00B24801">
        <w:rPr>
          <w:rFonts w:cs="Times New Roman"/>
        </w:rPr>
        <w:t xml:space="preserve">, p. 729 et 737). L’article 2 de la </w:t>
      </w:r>
      <w:r w:rsidRPr="00B24801">
        <w:rPr>
          <w:rFonts w:cs="Times New Roman"/>
          <w:iCs/>
        </w:rPr>
        <w:t>Loi</w:t>
      </w:r>
      <w:r w:rsidRPr="00B24801">
        <w:rPr>
          <w:rFonts w:cs="Times New Roman"/>
        </w:rPr>
        <w:t xml:space="preserve"> précise ensuite les types de silos visés par cette déclaration, en faisant la distinction entre ceux situés dans la région de l’Ouest et ceux situés dans la région de l’Est. Cette dernière comprend non seulement les six silos du Québec mentionnés par le Tribunal, mais aussi ceux « sur les bords des lacs Supérieur, Huron, Sainte-Claire, Érié, Ontario ou des canaux et autres voies navigables reliant ces lacs, ou du fleuve St-Laurent ou des eaux de marées » (art. 2 « installation ou silo » b)). Le Parlement exerce donc son pouvoir sur les relations de travail de chaque entreprise exploitant un silo assujetti à la déclaration par l’intermédiaire de sa compétence directe. Chacun des clients de SGS — y compris les six clients du Québec et ceux des Maritimes (motifs du T.A.T., par. 16) — sont des entreprises distinctes. La compétence dérivée pourrait s’appliquer à l’égard de chacune de ces entreprises </w:t>
      </w:r>
      <w:r w:rsidRPr="00B24801">
        <w:rPr>
          <w:rFonts w:cs="Times New Roman"/>
        </w:rPr>
        <w:lastRenderedPageBreak/>
        <w:t>individuellement. Elle ne place une entreprise provinciale sous la compétence fédérale que lorsque cette entreprise s’intègre fonctionnellement à l’</w:t>
      </w:r>
      <w:r w:rsidRPr="00B24801">
        <w:rPr>
          <w:rFonts w:cs="Times New Roman"/>
          <w:i/>
        </w:rPr>
        <w:t>une</w:t>
      </w:r>
      <w:r w:rsidRPr="00B24801">
        <w:rPr>
          <w:rFonts w:cs="Times New Roman"/>
        </w:rPr>
        <w:t xml:space="preserve"> des entreprises qui exploitent de manière indépendante un silo, ou encore à un groupe d’entreprises qui fonctionne comme un ensemble unifié. Non seulement n’y a-t-il aucune raison logique de regrouper les six silos entre eux, mais il n’y a aucune raison de les isoler des autres silos de la région de l’Est pour les besoins de l’analyse. SGS revendique en fait une intégration à [</w:t>
      </w:r>
      <w:r w:rsidRPr="00B24801">
        <w:rPr>
          <w:rFonts w:cs="Times New Roman"/>
          <w:smallCaps/>
        </w:rPr>
        <w:t>traduction</w:t>
      </w:r>
      <w:r w:rsidRPr="00B24801">
        <w:rPr>
          <w:rFonts w:cs="Times New Roman"/>
        </w:rPr>
        <w:t>] « la manutention, au chargement et à l’expédition des grains » (</w:t>
      </w:r>
      <w:proofErr w:type="spellStart"/>
      <w:r w:rsidRPr="00B24801">
        <w:rPr>
          <w:rFonts w:cs="Times New Roman"/>
        </w:rPr>
        <w:t>d.a</w:t>
      </w:r>
      <w:proofErr w:type="spellEnd"/>
      <w:r w:rsidRPr="00B24801">
        <w:rPr>
          <w:rFonts w:cs="Times New Roman"/>
        </w:rPr>
        <w:t>., vol. I, p. 86), ce qui représente un secteur d’activité plutôt qu’une entreprise identifiable.</w:t>
      </w:r>
    </w:p>
    <w:p w14:paraId="60127FA5" w14:textId="77777777" w:rsidR="007B47A0" w:rsidRPr="00B24801" w:rsidRDefault="007B47A0" w:rsidP="007B47A0">
      <w:pPr>
        <w:pStyle w:val="ParaNoNdepar-AltN"/>
        <w:tabs>
          <w:tab w:val="clear" w:pos="1152"/>
          <w:tab w:val="left" w:pos="1134"/>
          <w:tab w:val="left" w:pos="1166"/>
        </w:tabs>
        <w:rPr>
          <w:rFonts w:cs="Times New Roman"/>
        </w:rPr>
      </w:pPr>
      <w:r w:rsidRPr="00B24801">
        <w:rPr>
          <w:rFonts w:cs="Times New Roman"/>
        </w:rPr>
        <w:t>En l’espèce, SGS fournit des services à six différents exploitants de terminaux à grains rivaux. La position dominante d’un seul exploitant client sur les autres ne permet pas d’inférer que les services d’inspection des grains fournis à ce client constituent une part importante de l’ensemble des activités de SGS. Comme le fait valoir l’appelant, SGS « ne pourrait pas “disparaître” à l’intérieur de plusieurs entreprises fédérales distinctes et même concurrentes » (</w:t>
      </w:r>
      <w:proofErr w:type="spellStart"/>
      <w:r w:rsidRPr="00B24801">
        <w:rPr>
          <w:rFonts w:cs="Times New Roman"/>
        </w:rPr>
        <w:t>m.a</w:t>
      </w:r>
      <w:proofErr w:type="spellEnd"/>
      <w:r w:rsidRPr="00B24801">
        <w:rPr>
          <w:rFonts w:cs="Times New Roman"/>
        </w:rPr>
        <w:t>., par. 115).</w:t>
      </w:r>
    </w:p>
    <w:p w14:paraId="40B7C4A4" w14:textId="77777777" w:rsidR="007B47A0" w:rsidRPr="00B24801" w:rsidRDefault="007B47A0" w:rsidP="007B47A0">
      <w:pPr>
        <w:pStyle w:val="ParaNoNdepar-AltN"/>
        <w:rPr>
          <w:rFonts w:cs="Times New Roman"/>
        </w:rPr>
      </w:pPr>
      <w:r w:rsidRPr="00B24801">
        <w:rPr>
          <w:rFonts w:cs="Times New Roman"/>
        </w:rPr>
        <w:t xml:space="preserve">Certes, dans le </w:t>
      </w:r>
      <w:r w:rsidRPr="00B24801">
        <w:rPr>
          <w:rFonts w:cs="Times New Roman"/>
          <w:i/>
        </w:rPr>
        <w:t>Renvoi relatif aux débardeurs</w:t>
      </w:r>
      <w:r w:rsidRPr="00B24801">
        <w:rPr>
          <w:rFonts w:cs="Times New Roman"/>
        </w:rPr>
        <w:t xml:space="preserve">, notre Cour a conclu à l’intégration fonctionnelle en se fondant sur le fait que l’entreprise provinciale de débardage fournissait des services à sept entreprises maritimes de compétence fédérale (p. 543). Toutefois, comme l’a expliqué la Cour d’appel dans l’arrêt </w:t>
      </w:r>
      <w:proofErr w:type="spellStart"/>
      <w:r w:rsidRPr="00B24801">
        <w:rPr>
          <w:rFonts w:cs="Times New Roman"/>
          <w:i/>
        </w:rPr>
        <w:t>Madysta</w:t>
      </w:r>
      <w:proofErr w:type="spellEnd"/>
      <w:r w:rsidRPr="00B24801">
        <w:rPr>
          <w:rFonts w:cs="Times New Roman"/>
        </w:rPr>
        <w:t xml:space="preserve">, le </w:t>
      </w:r>
      <w:r w:rsidRPr="00B24801">
        <w:rPr>
          <w:rFonts w:cs="Times New Roman"/>
          <w:i/>
        </w:rPr>
        <w:t>Renvoi relatif aux débardeurs</w:t>
      </w:r>
      <w:r w:rsidRPr="00B24801">
        <w:rPr>
          <w:rFonts w:cs="Times New Roman"/>
        </w:rPr>
        <w:t xml:space="preserve"> représente la première fois où notre Cour s’est prononcée au sujet de la compétence dérivée. Il doit donc être interprété à la lumière de la </w:t>
      </w:r>
      <w:r w:rsidRPr="00B24801">
        <w:rPr>
          <w:rFonts w:cs="Times New Roman"/>
        </w:rPr>
        <w:lastRenderedPageBreak/>
        <w:t xml:space="preserve">jurisprudence subséquente, où l’accent est mis sur l’intégration fonctionnelle comme critère déterminant de l’analyse, laquelle doit se faire du point de vue des deux entreprises (par. 74). En outre, les faits du </w:t>
      </w:r>
      <w:r w:rsidRPr="00B24801">
        <w:rPr>
          <w:rFonts w:cs="Times New Roman"/>
          <w:i/>
        </w:rPr>
        <w:t>Renvoi relatif aux débardeurs</w:t>
      </w:r>
      <w:r w:rsidRPr="00B24801">
        <w:rPr>
          <w:rFonts w:cs="Times New Roman"/>
        </w:rPr>
        <w:t xml:space="preserve"> se distinguent de ceux de l’espèce. Dans cette affaire, la relation entre la société de débardage et les sept sociétés de transport maritime était exclusive et unissait le groupe : la société de débardage consacrait toutes ses activités à ces sociétés, et celles-ci dépendaient exclusivement d’elle pour [</w:t>
      </w:r>
      <w:r w:rsidRPr="00B24801">
        <w:rPr>
          <w:rFonts w:cs="Times New Roman"/>
          <w:smallCaps/>
        </w:rPr>
        <w:t>traduction</w:t>
      </w:r>
      <w:r w:rsidRPr="00B24801">
        <w:rPr>
          <w:rFonts w:cs="Times New Roman"/>
        </w:rPr>
        <w:t>] « s’occuper de tout le chargement sur leurs navires et le déchargement de ceux-ci » (</w:t>
      </w:r>
      <w:r w:rsidRPr="00B24801">
        <w:rPr>
          <w:rFonts w:cs="Times New Roman"/>
          <w:i/>
        </w:rPr>
        <w:t>Renvoi relatif aux débardeurs</w:t>
      </w:r>
      <w:r w:rsidRPr="00B24801">
        <w:rPr>
          <w:rFonts w:cs="Times New Roman"/>
        </w:rPr>
        <w:t>, p. 531). Le travail de débardage représentait en outre l’intégralité des opérations de cette société; il n’était pas exécuté par une unité distincte d’employés. Contrairement aux circonstances du présent pourvoi, il existait peu de risque que la société de débardage tente de donner l’impression d’une intégration en prétendant qu’un sous-groupe de ses employés formait une unité distincte.</w:t>
      </w:r>
    </w:p>
    <w:p w14:paraId="64FFB067" w14:textId="77777777" w:rsidR="007B47A0" w:rsidRPr="00B24801" w:rsidRDefault="007B47A0" w:rsidP="007B47A0">
      <w:pPr>
        <w:pStyle w:val="ParaNoNdepar-AltN"/>
        <w:tabs>
          <w:tab w:val="clear" w:pos="1152"/>
          <w:tab w:val="left" w:pos="1134"/>
        </w:tabs>
        <w:rPr>
          <w:rFonts w:cs="Times New Roman"/>
        </w:rPr>
      </w:pPr>
      <w:r w:rsidRPr="00B24801">
        <w:rPr>
          <w:rFonts w:cs="Times New Roman"/>
        </w:rPr>
        <w:t>La deuxième étape consiste ensuite à examiner la relation entre l’entreprise fédérale et l’entreprise provinciale du point de vue des deux entreprises. Dans le présent pourvoi, SGS est l’entreprise provinciale en cause. Elle affirme que sa succursale de Montréal, à partir de laquelle les 14 employés effectuent l’inspection des grains, est une unité fonctionnelle particulière et constitue le fondement de l’analyse (</w:t>
      </w:r>
      <w:proofErr w:type="spellStart"/>
      <w:r w:rsidRPr="00B24801">
        <w:rPr>
          <w:rFonts w:cs="Times New Roman"/>
        </w:rPr>
        <w:t>m.i</w:t>
      </w:r>
      <w:proofErr w:type="spellEnd"/>
      <w:r w:rsidRPr="00B24801">
        <w:rPr>
          <w:rFonts w:cs="Times New Roman"/>
        </w:rPr>
        <w:t>., par. 72). Pour sa part, l’appelant soutient que le fait de se concentrer sur la succursale de Montréal « a pour effet de prédéterminer la qualification de l’entreprise », et insiste sur le fait que SGS, en tant que société pancanadienne, doit être prise dans sa globalité, et, à défaut, que la Division agriculture et agroalimentaire doit l’être (</w:t>
      </w:r>
      <w:proofErr w:type="spellStart"/>
      <w:r w:rsidRPr="00B24801">
        <w:rPr>
          <w:rFonts w:cs="Times New Roman"/>
        </w:rPr>
        <w:t>m.a</w:t>
      </w:r>
      <w:proofErr w:type="spellEnd"/>
      <w:r w:rsidRPr="00B24801">
        <w:rPr>
          <w:rFonts w:cs="Times New Roman"/>
        </w:rPr>
        <w:t xml:space="preserve">., par. 104-106). </w:t>
      </w:r>
      <w:r w:rsidRPr="00B24801">
        <w:rPr>
          <w:rFonts w:cs="Times New Roman"/>
        </w:rPr>
        <w:lastRenderedPageBreak/>
        <w:t>La Cour supérieure était consciente avec raison du risque que l’unité d’employés retenue pour l’analyse participe d’un choix « stratégiquement avantageux » afin d’établir l’intégration fonctionnelle (par. 24). Pour empêcher qu’une entreprise provinciale soit « artificiellement scindée aux fins de classification constitutionnelle » (</w:t>
      </w:r>
      <w:r w:rsidRPr="00B24801">
        <w:rPr>
          <w:rFonts w:cs="Times New Roman"/>
          <w:i/>
        </w:rPr>
        <w:t>Tessier</w:t>
      </w:r>
      <w:r w:rsidRPr="00B24801">
        <w:rPr>
          <w:rFonts w:cs="Times New Roman"/>
        </w:rPr>
        <w:t xml:space="preserve">, par. 55), il faut s’assurer de bien satisfaire aux critères de l’intégration fonctionnelle. En effet, une unité d’employés n’existe en tant qu’« unité fonctionnelle particulière » d’une entreprise provinciale que lorsqu’elle est intégrée — ou « fonctionnellement intégrée » — à l’entreprise fédérale. </w:t>
      </w:r>
    </w:p>
    <w:p w14:paraId="401F3DAE" w14:textId="77777777" w:rsidR="007B47A0" w:rsidRPr="00B24801" w:rsidRDefault="007B47A0" w:rsidP="007B47A0">
      <w:pPr>
        <w:pStyle w:val="ParaNoNdepar-AltN"/>
        <w:tabs>
          <w:tab w:val="clear" w:pos="1152"/>
          <w:tab w:val="left" w:pos="1134"/>
        </w:tabs>
        <w:rPr>
          <w:rFonts w:cs="Times New Roman"/>
        </w:rPr>
      </w:pPr>
      <w:r w:rsidRPr="00B24801">
        <w:rPr>
          <w:rFonts w:cs="Times New Roman"/>
        </w:rPr>
        <w:t xml:space="preserve">L’analyse relative à la compétence dérivée nécessite d’examiner si l’intégration voulue existe aussi bien de la perspective de l’entreprise fédérale que de celle de l’entreprise provinciale. Les tribunaux ne sont pas tenus d’évaluer l’intégration au regard de toutes les unités d’analyse possibles. Bien souvent, l’examen de la compétence dérivée porte simplement sur l’unité d’employés dont ils sont saisis. Toutefois, lorsque les parties divergent quant à </w:t>
      </w:r>
      <w:bookmarkStart w:id="199" w:name="_Hlk244691084"/>
      <w:r w:rsidRPr="00B24801">
        <w:rPr>
          <w:rFonts w:cs="Times New Roman"/>
        </w:rPr>
        <w:t>l’unité d’analyse pertinente</w:t>
      </w:r>
      <w:bookmarkEnd w:id="199"/>
      <w:r w:rsidRPr="00B24801">
        <w:rPr>
          <w:rFonts w:cs="Times New Roman"/>
        </w:rPr>
        <w:t xml:space="preserve">, </w:t>
      </w:r>
      <w:bookmarkStart w:id="200" w:name="_Hlk244690644"/>
      <w:r w:rsidRPr="00B24801">
        <w:rPr>
          <w:rFonts w:cs="Times New Roman"/>
        </w:rPr>
        <w:t>les tribunaux doivent prendre en considération</w:t>
      </w:r>
      <w:bookmarkEnd w:id="200"/>
      <w:r w:rsidRPr="00B24801">
        <w:rPr>
          <w:rFonts w:cs="Times New Roman"/>
        </w:rPr>
        <w:t xml:space="preserve"> chacune des prétentions relatives à l’intégration fonctionnelle. En l’espèce, comme les parties ont présenté des observations concernant trois unités d’analyse différentes — SGS dans son ensemble, la Division agriculture et agroalimentaire et la succursale de Montréal —, j’effectue l’analyse de chacune d’elles.</w:t>
      </w:r>
    </w:p>
    <w:p w14:paraId="098E0306" w14:textId="77777777" w:rsidR="007B47A0" w:rsidRPr="00B24801" w:rsidRDefault="007B47A0" w:rsidP="007B47A0">
      <w:pPr>
        <w:pStyle w:val="ParaNoNdepar-AltN"/>
        <w:tabs>
          <w:tab w:val="clear" w:pos="1152"/>
          <w:tab w:val="left" w:pos="1134"/>
        </w:tabs>
        <w:rPr>
          <w:rFonts w:cs="Times New Roman"/>
        </w:rPr>
      </w:pPr>
      <w:r w:rsidRPr="00B24801">
        <w:rPr>
          <w:rFonts w:cs="Times New Roman"/>
        </w:rPr>
        <w:t xml:space="preserve">Du point de vue de l’entreprise fédérale, </w:t>
      </w:r>
      <w:proofErr w:type="spellStart"/>
      <w:r w:rsidRPr="00B24801">
        <w:rPr>
          <w:rFonts w:cs="Times New Roman"/>
        </w:rPr>
        <w:t>Viterra</w:t>
      </w:r>
      <w:proofErr w:type="spellEnd"/>
      <w:r w:rsidRPr="00B24801">
        <w:rPr>
          <w:rFonts w:cs="Times New Roman"/>
        </w:rPr>
        <w:t xml:space="preserve">, le Tribunal a conclu que « SGS réalise 100 % des inspections et analyses lors des activités de mouvements de </w:t>
      </w:r>
      <w:r w:rsidRPr="00B24801">
        <w:rPr>
          <w:rFonts w:cs="Times New Roman"/>
        </w:rPr>
        <w:lastRenderedPageBreak/>
        <w:t xml:space="preserve">grains de l’entreprise [. . .] de manière continue depuis 2012 » (par. 125; voir aussi par. 137). En conséquence, il a jugé que </w:t>
      </w:r>
      <w:proofErr w:type="spellStart"/>
      <w:r w:rsidRPr="00B24801">
        <w:rPr>
          <w:rFonts w:cs="Times New Roman"/>
        </w:rPr>
        <w:t>Viterra</w:t>
      </w:r>
      <w:proofErr w:type="spellEnd"/>
      <w:r w:rsidRPr="00B24801">
        <w:rPr>
          <w:rFonts w:cs="Times New Roman"/>
        </w:rPr>
        <w:t xml:space="preserve"> « dépend clairement du travail habituel » des 14 employés de SGS (par. 130). SGS est actuellement l’un des cinq tiers fournisseurs de services d’inspection des grains agréés par la Commission. Je souligne que, devant le Tribunal, SGS a reconnu que ses clients ne souhaitent pas qu’elle devienne un « monopole », malgré le fait qu’elle effectue 80 p. 100 des analyses de grains au Canada (</w:t>
      </w:r>
      <w:proofErr w:type="spellStart"/>
      <w:r w:rsidRPr="00B24801">
        <w:rPr>
          <w:rFonts w:cs="Times New Roman"/>
        </w:rPr>
        <w:t>d.a</w:t>
      </w:r>
      <w:proofErr w:type="spellEnd"/>
      <w:r w:rsidRPr="00B24801">
        <w:rPr>
          <w:rFonts w:cs="Times New Roman"/>
        </w:rPr>
        <w:t xml:space="preserve">., vol. IV, p. 49). Le remplacement de SGS causerait des inconvénients opérationnels pour </w:t>
      </w:r>
      <w:proofErr w:type="spellStart"/>
      <w:r w:rsidRPr="00B24801">
        <w:rPr>
          <w:rFonts w:cs="Times New Roman"/>
        </w:rPr>
        <w:t>Viterra</w:t>
      </w:r>
      <w:proofErr w:type="spellEnd"/>
      <w:r w:rsidRPr="00B24801">
        <w:rPr>
          <w:rFonts w:cs="Times New Roman"/>
        </w:rPr>
        <w:t xml:space="preserve">, vu qu’elle dépend des services de SGS; </w:t>
      </w:r>
      <w:proofErr w:type="spellStart"/>
      <w:r w:rsidRPr="00B24801">
        <w:rPr>
          <w:rFonts w:cs="Times New Roman"/>
        </w:rPr>
        <w:t>Viterra</w:t>
      </w:r>
      <w:proofErr w:type="spellEnd"/>
      <w:r w:rsidRPr="00B24801">
        <w:rPr>
          <w:rFonts w:cs="Times New Roman"/>
        </w:rPr>
        <w:t xml:space="preserve"> reste néanmoins libre de faire appel à l’un des quatre tiers fournisseurs de services concurrents actifs sur le marché. Bien que la possibilité de remplacer un tiers fournisseur de services par l’un de ses concurrents ne soit pas un facteur décisif, il s’agit d’une considération pertinente qui milite contre une conclusion de dépendance. En ce qui concerne les cinq autres terminaux à grains du Québec, le Tribunal a estimé que « la preuve ne définit pas clairement la proportion de dépendance pour chacune » (motifs du T.A.T., par. 132). Il n’est donc pas nécessaire d’examiner l’intégration fonctionnelle à chacun des cinq autres exploitants desservis par SGS. </w:t>
      </w:r>
    </w:p>
    <w:p w14:paraId="2816A33F" w14:textId="77777777" w:rsidR="007B47A0" w:rsidRPr="00B24801" w:rsidRDefault="007B47A0" w:rsidP="007B47A0">
      <w:pPr>
        <w:pStyle w:val="ParaNoNdepar-AltN"/>
        <w:tabs>
          <w:tab w:val="clear" w:pos="1152"/>
          <w:tab w:val="left" w:pos="1134"/>
        </w:tabs>
        <w:rPr>
          <w:rFonts w:eastAsia="Times New Roman" w:cs="Times New Roman"/>
          <w:lang w:eastAsia="fr-CA"/>
        </w:rPr>
      </w:pPr>
      <w:proofErr w:type="spellStart"/>
      <w:r w:rsidRPr="00B24801">
        <w:rPr>
          <w:rFonts w:eastAsia="Times New Roman" w:cs="Times New Roman"/>
          <w:lang w:eastAsia="fr-CA"/>
        </w:rPr>
        <w:t>Viterra</w:t>
      </w:r>
      <w:proofErr w:type="spellEnd"/>
      <w:r w:rsidRPr="00B24801">
        <w:rPr>
          <w:rFonts w:eastAsia="Times New Roman" w:cs="Times New Roman"/>
          <w:lang w:eastAsia="fr-CA"/>
        </w:rPr>
        <w:t xml:space="preserve"> exerce une double mission, comme exploitante de silo et comme société qui vend, achète et exporte des grains, et elle a choisi de confier exclusivement à SGS la prestation des services nécessaires au moment du transport, de la réception ou de la décharge des grains. En tant qu’exploitante de silo, </w:t>
      </w:r>
      <w:proofErr w:type="spellStart"/>
      <w:r w:rsidRPr="00B24801">
        <w:rPr>
          <w:rFonts w:eastAsia="Times New Roman" w:cs="Times New Roman"/>
          <w:lang w:eastAsia="fr-CA"/>
        </w:rPr>
        <w:t>Viterra</w:t>
      </w:r>
      <w:proofErr w:type="spellEnd"/>
      <w:r w:rsidRPr="00B24801">
        <w:rPr>
          <w:rFonts w:eastAsia="Times New Roman" w:cs="Times New Roman"/>
          <w:lang w:eastAsia="fr-CA"/>
        </w:rPr>
        <w:t xml:space="preserve"> peut compter sur SGS pour déterminer les quantités de grains reçus dans ses silos ou expédiés depuis ceux-ci, ainsi que pour mieux prévenir la détérioration de la qualité du grain par contamination. </w:t>
      </w:r>
      <w:r w:rsidRPr="00B24801">
        <w:rPr>
          <w:rFonts w:eastAsia="Times New Roman" w:cs="Times New Roman"/>
          <w:lang w:eastAsia="fr-CA"/>
        </w:rPr>
        <w:lastRenderedPageBreak/>
        <w:t xml:space="preserve">Toutefois, </w:t>
      </w:r>
      <w:proofErr w:type="spellStart"/>
      <w:r w:rsidRPr="00B24801">
        <w:rPr>
          <w:rFonts w:eastAsia="Times New Roman" w:cs="Times New Roman"/>
          <w:lang w:eastAsia="fr-CA"/>
        </w:rPr>
        <w:t>Viterra</w:t>
      </w:r>
      <w:proofErr w:type="spellEnd"/>
      <w:r w:rsidRPr="00B24801">
        <w:rPr>
          <w:rFonts w:eastAsia="Times New Roman" w:cs="Times New Roman"/>
          <w:lang w:eastAsia="fr-CA"/>
        </w:rPr>
        <w:t xml:space="preserve"> retient également les services de SGS à titre de tiers indépendant, non seulement en ce qui a trait à la « fonction essentielle » d’un exploitant de silo, mais aussi pour faciliter la mission distincte de </w:t>
      </w:r>
      <w:proofErr w:type="spellStart"/>
      <w:r w:rsidRPr="00B24801">
        <w:rPr>
          <w:rFonts w:eastAsia="Times New Roman" w:cs="Times New Roman"/>
          <w:lang w:eastAsia="fr-CA"/>
        </w:rPr>
        <w:t>Viterra</w:t>
      </w:r>
      <w:proofErr w:type="spellEnd"/>
      <w:r w:rsidRPr="00B24801">
        <w:rPr>
          <w:rFonts w:eastAsia="Times New Roman" w:cs="Times New Roman"/>
          <w:lang w:eastAsia="fr-CA"/>
        </w:rPr>
        <w:t xml:space="preserve">, soit celle d’acheter et de vendre des grains. SGS effectue des analyses supplémentaires, à une fréquence supérieure à celle exigée par la Commission, afin de s’assurer que le grain reçu et vendu satisfasse aux exigences précisées (motifs du T.A.T., par. 82). SGS délivre également à </w:t>
      </w:r>
      <w:proofErr w:type="spellStart"/>
      <w:r w:rsidRPr="00B24801">
        <w:rPr>
          <w:rFonts w:eastAsia="Times New Roman" w:cs="Times New Roman"/>
          <w:lang w:eastAsia="fr-CA"/>
        </w:rPr>
        <w:t>Viterra</w:t>
      </w:r>
      <w:proofErr w:type="spellEnd"/>
      <w:r w:rsidRPr="00B24801">
        <w:rPr>
          <w:rFonts w:eastAsia="Times New Roman" w:cs="Times New Roman"/>
          <w:lang w:eastAsia="fr-CA"/>
        </w:rPr>
        <w:t xml:space="preserve"> des certificats indépendants pour les besoins de ses transactions, mais le Parlement n’exige pas des certificats de ce genre pour l’exportation (par. 81). Pareils services de nature commerciale vont bien au-delà des obligations imposées à l’exploitant par la </w:t>
      </w:r>
      <w:r w:rsidRPr="00B24801">
        <w:rPr>
          <w:rFonts w:cs="Times New Roman"/>
          <w:i/>
        </w:rPr>
        <w:t>Loi sur les grains du Canada</w:t>
      </w:r>
      <w:r w:rsidRPr="00B24801">
        <w:rPr>
          <w:rFonts w:eastAsia="Times New Roman" w:cs="Times New Roman"/>
          <w:lang w:eastAsia="fr-CA"/>
        </w:rPr>
        <w:t xml:space="preserve">, et </w:t>
      </w:r>
      <w:proofErr w:type="spellStart"/>
      <w:r w:rsidRPr="00B24801">
        <w:rPr>
          <w:rFonts w:eastAsia="Times New Roman" w:cs="Times New Roman"/>
          <w:lang w:eastAsia="fr-CA"/>
        </w:rPr>
        <w:t>Viterra</w:t>
      </w:r>
      <w:proofErr w:type="spellEnd"/>
      <w:r w:rsidRPr="00B24801">
        <w:rPr>
          <w:rFonts w:eastAsia="Times New Roman" w:cs="Times New Roman"/>
          <w:lang w:eastAsia="fr-CA"/>
        </w:rPr>
        <w:t xml:space="preserve"> dépend en partie de SGS pour répondre à ses besoins commerciaux, lesquels se distinguent de ses besoins comme exploitante de silo.</w:t>
      </w:r>
    </w:p>
    <w:p w14:paraId="078165DB" w14:textId="77777777" w:rsidR="007B47A0" w:rsidRPr="00B24801" w:rsidRDefault="007B47A0" w:rsidP="007B47A0">
      <w:pPr>
        <w:pStyle w:val="ParaNoNdepar-AltN"/>
        <w:tabs>
          <w:tab w:val="clear" w:pos="1152"/>
          <w:tab w:val="left" w:pos="1134"/>
        </w:tabs>
        <w:rPr>
          <w:rFonts w:cs="Times New Roman"/>
        </w:rPr>
      </w:pPr>
      <w:r w:rsidRPr="00B24801">
        <w:rPr>
          <w:rFonts w:eastAsia="Times New Roman" w:cs="Times New Roman"/>
        </w:rPr>
        <w:t xml:space="preserve">Les dispositions de la </w:t>
      </w:r>
      <w:r w:rsidRPr="00B24801">
        <w:rPr>
          <w:rFonts w:eastAsia="Times New Roman" w:cs="Times New Roman"/>
          <w:iCs/>
        </w:rPr>
        <w:t>Loi</w:t>
      </w:r>
      <w:r w:rsidRPr="00B24801">
        <w:rPr>
          <w:rFonts w:eastAsia="Times New Roman" w:cs="Times New Roman"/>
        </w:rPr>
        <w:t xml:space="preserve"> elle-même attribuent un rôle distinct aux inspecteurs tiers (par. 69.1(2), 70(3) et 70.3(3)). Le besoin d’un exploitant de silo de faire peser et inspecter le grain diffère de celui d’une société qui achète, vend et exporte du grain, des besoins qui sont dictés par des exigences commerciales distinctes, et auxquels l’on peut satisfaire en recourant aux services d’un tiers. La Loi</w:t>
      </w:r>
      <w:r w:rsidRPr="00B24801">
        <w:rPr>
          <w:rFonts w:eastAsia="Times New Roman" w:cs="Times New Roman"/>
          <w:i/>
        </w:rPr>
        <w:t xml:space="preserve"> </w:t>
      </w:r>
      <w:r w:rsidRPr="00B24801">
        <w:rPr>
          <w:rFonts w:eastAsia="Times New Roman" w:cs="Times New Roman"/>
        </w:rPr>
        <w:t>a créé, pour des tiers, un rôle encadré par la Commission, et les exploitants sont censés faciliter l’exercice de ce rôle.</w:t>
      </w:r>
    </w:p>
    <w:p w14:paraId="0A2D3E5B" w14:textId="77777777" w:rsidR="007B47A0" w:rsidRPr="00B24801" w:rsidRDefault="007B47A0" w:rsidP="007B47A0">
      <w:pPr>
        <w:pStyle w:val="ParaNoNdepar-AltN"/>
        <w:tabs>
          <w:tab w:val="clear" w:pos="1152"/>
          <w:tab w:val="left" w:pos="1134"/>
        </w:tabs>
        <w:rPr>
          <w:rFonts w:cs="Times New Roman"/>
        </w:rPr>
      </w:pPr>
      <w:r w:rsidRPr="00B24801">
        <w:rPr>
          <w:rFonts w:eastAsia="Times New Roman" w:cs="Times New Roman"/>
        </w:rPr>
        <w:t>D’après l’appelant, il faut déterminer l’intérêt du gouvernement fédéral à déclarer des silos « à l’avantage général du Canada » à l’aune des fonctions d’un silo définies dans la Loi, et il ne s’étend pas à des intérêts plus larges comme « </w:t>
      </w:r>
      <w:r w:rsidRPr="00B24801">
        <w:rPr>
          <w:rFonts w:eastAsia="Times New Roman" w:cs="Times New Roman"/>
          <w:lang w:bidi="en-US"/>
        </w:rPr>
        <w:t xml:space="preserve">le commerce </w:t>
      </w:r>
      <w:r w:rsidRPr="00B24801">
        <w:rPr>
          <w:rFonts w:eastAsia="Times New Roman" w:cs="Times New Roman"/>
          <w:lang w:bidi="en-US"/>
        </w:rPr>
        <w:lastRenderedPageBreak/>
        <w:t>du grain » (</w:t>
      </w:r>
      <w:proofErr w:type="spellStart"/>
      <w:r w:rsidRPr="00B24801">
        <w:rPr>
          <w:rFonts w:eastAsia="Times New Roman" w:cs="Times New Roman"/>
          <w:lang w:bidi="en-US"/>
        </w:rPr>
        <w:t>m.a</w:t>
      </w:r>
      <w:proofErr w:type="spellEnd"/>
      <w:r w:rsidRPr="00B24801">
        <w:rPr>
          <w:rFonts w:eastAsia="Times New Roman" w:cs="Times New Roman"/>
          <w:lang w:bidi="en-US"/>
        </w:rPr>
        <w:t xml:space="preserve">., par. 74). Bien que </w:t>
      </w:r>
      <w:proofErr w:type="spellStart"/>
      <w:r w:rsidRPr="00B24801">
        <w:rPr>
          <w:rFonts w:eastAsia="Times New Roman" w:cs="Times New Roman"/>
          <w:lang w:bidi="en-US"/>
        </w:rPr>
        <w:t>Viterra</w:t>
      </w:r>
      <w:proofErr w:type="spellEnd"/>
      <w:r w:rsidRPr="00B24801">
        <w:rPr>
          <w:rFonts w:eastAsia="Times New Roman" w:cs="Times New Roman"/>
          <w:lang w:bidi="en-US"/>
        </w:rPr>
        <w:t xml:space="preserve"> dépende des services offerts par SGS, l’appelant soutient qu’« il faut faire une différence entre les activités de commerce du grain et les activités d’exploitation de l’ouvrage. Le commerce du grain, en soi, c’est provincial. Et, là, bien, c’est des activités</w:t>
      </w:r>
      <w:r w:rsidRPr="00B24801">
        <w:rPr>
          <w:rFonts w:eastAsia="Times New Roman" w:cs="Times New Roman"/>
          <w:szCs w:val="24"/>
          <w:lang w:eastAsia="en-CA"/>
        </w:rPr>
        <w:t xml:space="preserve"> </w:t>
      </w:r>
      <w:r w:rsidRPr="00B24801">
        <w:rPr>
          <w:rFonts w:eastAsia="Times New Roman" w:cs="Times New Roman"/>
          <w:lang w:bidi="en-US"/>
        </w:rPr>
        <w:t xml:space="preserve">d’inspection pour faciliter le commerce du grain » (transcription, p. 31-32). </w:t>
      </w:r>
      <w:bookmarkStart w:id="201" w:name="_Hlk241226682"/>
      <w:r w:rsidRPr="00B24801">
        <w:rPr>
          <w:rFonts w:eastAsia="Times New Roman" w:cs="Times New Roman"/>
          <w:lang w:bidi="en-US"/>
        </w:rPr>
        <w:t>Je suis du même avis. La Loi</w:t>
      </w:r>
      <w:r w:rsidRPr="00B24801">
        <w:rPr>
          <w:rFonts w:eastAsia="Times New Roman" w:cs="Times New Roman"/>
          <w:i/>
          <w:lang w:bidi="en-US"/>
        </w:rPr>
        <w:t xml:space="preserve"> </w:t>
      </w:r>
      <w:r w:rsidRPr="00B24801">
        <w:rPr>
          <w:rFonts w:eastAsia="Times New Roman" w:cs="Times New Roman"/>
          <w:lang w:bidi="en-US"/>
        </w:rPr>
        <w:t>précise qu’un silo est destiné notamment à traiter et à entreposer des grains.</w:t>
      </w:r>
      <w:bookmarkEnd w:id="201"/>
      <w:r w:rsidRPr="00B24801">
        <w:rPr>
          <w:rFonts w:eastAsia="Times New Roman" w:cs="Times New Roman"/>
          <w:lang w:bidi="en-US"/>
        </w:rPr>
        <w:t xml:space="preserve"> Faute d’une autre justification, l’extension des opérations d’un silo à d’autres entreprises, comme le commerce ou le transport des grains, aurait pour effet d’élargir l’intérêt fédéral au-delà de [</w:t>
      </w:r>
      <w:r w:rsidRPr="00B24801">
        <w:rPr>
          <w:rFonts w:eastAsia="Times New Roman" w:cs="Times New Roman"/>
          <w:smallCaps/>
          <w:lang w:bidi="en-US"/>
        </w:rPr>
        <w:t>traduction</w:t>
      </w:r>
      <w:r w:rsidRPr="00B24801">
        <w:rPr>
          <w:rFonts w:eastAsia="Times New Roman" w:cs="Times New Roman"/>
          <w:lang w:bidi="en-US"/>
        </w:rPr>
        <w:t>] « ses contextes linguistique, philosophique et historique appropriés » (</w:t>
      </w:r>
      <w:proofErr w:type="spellStart"/>
      <w:r w:rsidRPr="00B24801">
        <w:rPr>
          <w:rFonts w:eastAsia="Times New Roman" w:cs="Times New Roman"/>
          <w:i/>
          <w:lang w:bidi="en-US"/>
        </w:rPr>
        <w:t>Consolidated</w:t>
      </w:r>
      <w:proofErr w:type="spellEnd"/>
      <w:r w:rsidRPr="00B24801">
        <w:rPr>
          <w:rFonts w:eastAsia="Times New Roman" w:cs="Times New Roman"/>
          <w:i/>
          <w:lang w:bidi="en-US"/>
        </w:rPr>
        <w:t xml:space="preserve"> </w:t>
      </w:r>
      <w:proofErr w:type="spellStart"/>
      <w:r w:rsidRPr="00B24801">
        <w:rPr>
          <w:rFonts w:eastAsia="Times New Roman" w:cs="Times New Roman"/>
          <w:i/>
          <w:lang w:bidi="en-US"/>
        </w:rPr>
        <w:t>Fastfrate</w:t>
      </w:r>
      <w:proofErr w:type="spellEnd"/>
      <w:r w:rsidRPr="00B24801">
        <w:rPr>
          <w:rFonts w:eastAsia="Times New Roman" w:cs="Times New Roman"/>
          <w:lang w:bidi="en-US"/>
        </w:rPr>
        <w:t xml:space="preserve">, par. 32, citant P. W. Hogg, </w:t>
      </w:r>
      <w:proofErr w:type="spellStart"/>
      <w:r w:rsidRPr="00B24801">
        <w:rPr>
          <w:rFonts w:eastAsia="Times New Roman" w:cs="Times New Roman"/>
          <w:i/>
          <w:lang w:bidi="en-US"/>
        </w:rPr>
        <w:t>Constitutional</w:t>
      </w:r>
      <w:proofErr w:type="spellEnd"/>
      <w:r w:rsidRPr="00B24801">
        <w:rPr>
          <w:rFonts w:eastAsia="Times New Roman" w:cs="Times New Roman"/>
          <w:i/>
          <w:lang w:bidi="en-US"/>
        </w:rPr>
        <w:t xml:space="preserve"> Law of Canada </w:t>
      </w:r>
      <w:r w:rsidRPr="00B24801">
        <w:rPr>
          <w:rFonts w:eastAsia="Times New Roman" w:cs="Times New Roman"/>
          <w:lang w:bidi="en-US"/>
        </w:rPr>
        <w:t>(5</w:t>
      </w:r>
      <w:r w:rsidRPr="00B24801">
        <w:rPr>
          <w:rFonts w:eastAsia="Times New Roman" w:cs="Times New Roman"/>
          <w:vertAlign w:val="superscript"/>
          <w:lang w:bidi="en-US"/>
        </w:rPr>
        <w:t>e</w:t>
      </w:r>
      <w:r w:rsidRPr="00B24801">
        <w:rPr>
          <w:rFonts w:eastAsia="Times New Roman" w:cs="Times New Roman"/>
          <w:lang w:bidi="en-US"/>
        </w:rPr>
        <w:t xml:space="preserve"> éd. 2007), vol. 1, p. 476). De plus, cette extension redéfinirait les déclarations antérieures du juge en chef Dickson sur l’intérêt du gouvernement fédéral dans les silos à grains, lesquelles excluaient le transport des grains, en l’absence de toute justification fondée sur des principes (</w:t>
      </w:r>
      <w:r w:rsidRPr="00B24801">
        <w:rPr>
          <w:rFonts w:eastAsia="Times New Roman" w:cs="Times New Roman"/>
          <w:i/>
          <w:lang w:bidi="en-US"/>
        </w:rPr>
        <w:t>Central Western</w:t>
      </w:r>
      <w:r w:rsidRPr="00B24801">
        <w:rPr>
          <w:rFonts w:eastAsia="Times New Roman" w:cs="Times New Roman"/>
          <w:lang w:bidi="en-US"/>
        </w:rPr>
        <w:t>, p. 1143).</w:t>
      </w:r>
    </w:p>
    <w:p w14:paraId="04BDDA97" w14:textId="77777777" w:rsidR="007B47A0" w:rsidRPr="00B24801" w:rsidRDefault="007B47A0" w:rsidP="007B47A0">
      <w:pPr>
        <w:pStyle w:val="ParaNoNdepar-AltN"/>
        <w:rPr>
          <w:rFonts w:eastAsia="Times New Roman" w:cs="Times New Roman"/>
        </w:rPr>
      </w:pPr>
      <w:r w:rsidRPr="00B24801">
        <w:rPr>
          <w:rFonts w:eastAsia="Times New Roman" w:cs="Times New Roman"/>
        </w:rPr>
        <w:t xml:space="preserve">La dépendance de </w:t>
      </w:r>
      <w:proofErr w:type="spellStart"/>
      <w:r w:rsidRPr="00B24801">
        <w:rPr>
          <w:rFonts w:eastAsia="Times New Roman" w:cs="Times New Roman"/>
        </w:rPr>
        <w:t>Viterra</w:t>
      </w:r>
      <w:proofErr w:type="spellEnd"/>
      <w:r w:rsidRPr="00B24801">
        <w:rPr>
          <w:rFonts w:eastAsia="Times New Roman" w:cs="Times New Roman"/>
        </w:rPr>
        <w:t xml:space="preserve"> vis-à-vis des services d’inspection fournis par SGS doit être soigneusement évaluée afin de distinguer les cas où ces services sont fournis pour appuyer l’exploitation des « travaux », au sens constitutionnel du terme, des cas où ils sont fournis pour répondre à des besoins commerciaux distincts qui ne sont pas régis par l’al. 92(10)c). Lorsque l’exploitant d’un ouvrage poursuit ainsi divers intérêts, l’analyse doit tenir compte de la distinction entre les services qui sont liés à l’exploitation de l’ouvrage déclaré et les services qui répondent à des intérêts commerciaux distincts de cette exploitation. Les services que fournit l’entreprise </w:t>
      </w:r>
      <w:r w:rsidRPr="00B24801">
        <w:rPr>
          <w:rFonts w:eastAsia="Times New Roman" w:cs="Times New Roman"/>
        </w:rPr>
        <w:lastRenderedPageBreak/>
        <w:t xml:space="preserve">présumée être de compétence provinciale pour répondre à des intérêts commerciaux qui dépassent le cadre de l’entreprise fédérale limitée exploitant l’ouvrage ne sauraient servir de fondement à une extension de la compétence fédérale. Par exemple, dans l’arrêt </w:t>
      </w:r>
      <w:r w:rsidRPr="00B24801">
        <w:rPr>
          <w:rFonts w:eastAsia="Times New Roman" w:cs="Times New Roman"/>
          <w:i/>
          <w:iCs/>
        </w:rPr>
        <w:t>Ontario Hydro</w:t>
      </w:r>
      <w:r w:rsidRPr="00B24801">
        <w:rPr>
          <w:rFonts w:eastAsia="Times New Roman" w:cs="Times New Roman"/>
        </w:rPr>
        <w:t>, le juge en chef Lamer a examiné la situation d’employés qui travaillaient pour l’exploitant d’une centrale nucléaire, et dont les fonctions, distinctes de celles liées à la production d’énergie nucléaire proprement dite, consistaient plutôt à faire fonctionner la turbine grâce à l’énergie thermique produite par la centrale nucléaire afin de générer de l’électricité. Il a conclu que ces employés demeuraient sous compétence provinciale puisque, « [u]ne fois produite l’énergie thermique, la façon dont elle a été produite revêt peu d’importance pour le reste de la phase de production d’électricité » (p. 356).</w:t>
      </w:r>
    </w:p>
    <w:p w14:paraId="027788CF" w14:textId="77777777" w:rsidR="007B47A0" w:rsidRPr="00B24801" w:rsidRDefault="007B47A0" w:rsidP="007B47A0">
      <w:pPr>
        <w:pStyle w:val="ParaNoNdepar-AltN"/>
        <w:tabs>
          <w:tab w:val="clear" w:pos="1152"/>
          <w:tab w:val="left" w:pos="1134"/>
        </w:tabs>
        <w:rPr>
          <w:rFonts w:cs="Times New Roman"/>
        </w:rPr>
      </w:pPr>
      <w:r w:rsidRPr="00B24801">
        <w:rPr>
          <w:rFonts w:eastAsia="Times New Roman" w:cs="Times New Roman"/>
        </w:rPr>
        <w:t xml:space="preserve">Cela est d’autant plus vrai lorsque le Parlement exerce le pouvoir que lui confère l’al. 92(10)c). </w:t>
      </w:r>
      <w:bookmarkStart w:id="202" w:name="_Hlk244690190"/>
      <w:r w:rsidRPr="00B24801">
        <w:rPr>
          <w:rFonts w:eastAsia="Times New Roman" w:cs="Times New Roman"/>
        </w:rPr>
        <w:t>L’entreprise fédérale doit alors être limitée à l’exploitation de l’ouvrage déclaré, sans s’étendre aux activités commerciales ou sectorielles auxquelles se livre également l’entité exploitant l’ouvrage. Sinon, la compétence dérivée risquerait de servir de moyen détourné pour étendre la compétence fédérale à des entreprises n’ayant qu’un lien accessoire avec des chefs de compétence fédérale d’application générale</w:t>
      </w:r>
      <w:bookmarkEnd w:id="202"/>
      <w:r w:rsidRPr="00B24801">
        <w:rPr>
          <w:rFonts w:eastAsia="Times New Roman" w:cs="Times New Roman"/>
        </w:rPr>
        <w:t xml:space="preserve">. Même si </w:t>
      </w:r>
      <w:proofErr w:type="spellStart"/>
      <w:r w:rsidRPr="00B24801">
        <w:rPr>
          <w:rFonts w:eastAsia="Times New Roman" w:cs="Times New Roman"/>
        </w:rPr>
        <w:t>Viterra</w:t>
      </w:r>
      <w:proofErr w:type="spellEnd"/>
      <w:r w:rsidRPr="00B24801">
        <w:rPr>
          <w:rFonts w:eastAsia="Times New Roman" w:cs="Times New Roman"/>
        </w:rPr>
        <w:t xml:space="preserve"> doit s’en remettre aux constatations d’un tiers pour remplir aussi les obligations qui lui incombent à titre d’exploitante de silo, cela ne saurait avoir pour effet d’élargir la compétence fédérale prévue à l’al. 92(10)c), à moins que les activités qu’elle mène pour répondre à ces obligations ne représentent la « majeure partie » des activités globales de l’entreprise considérée (</w:t>
      </w:r>
      <w:r w:rsidRPr="00B24801">
        <w:rPr>
          <w:rFonts w:eastAsia="Times New Roman" w:cs="Times New Roman"/>
          <w:i/>
          <w:iCs/>
        </w:rPr>
        <w:t>Tessier</w:t>
      </w:r>
      <w:r w:rsidRPr="00B24801">
        <w:rPr>
          <w:rFonts w:eastAsia="Times New Roman" w:cs="Times New Roman"/>
        </w:rPr>
        <w:t xml:space="preserve">, par. 42 et 54; </w:t>
      </w:r>
      <w:proofErr w:type="spellStart"/>
      <w:r w:rsidRPr="00B24801">
        <w:rPr>
          <w:rFonts w:eastAsia="Times New Roman" w:cs="Times New Roman"/>
          <w:i/>
          <w:iCs/>
        </w:rPr>
        <w:lastRenderedPageBreak/>
        <w:t>Northern</w:t>
      </w:r>
      <w:proofErr w:type="spellEnd"/>
      <w:r w:rsidRPr="00B24801">
        <w:rPr>
          <w:rFonts w:eastAsia="Times New Roman" w:cs="Times New Roman"/>
          <w:i/>
          <w:iCs/>
        </w:rPr>
        <w:t xml:space="preserve"> Telecom</w:t>
      </w:r>
      <w:r w:rsidRPr="00B24801">
        <w:rPr>
          <w:rFonts w:eastAsia="Times New Roman" w:cs="Times New Roman"/>
        </w:rPr>
        <w:t xml:space="preserve"> (1983), p. 771). Autrement dit, si les services fournis par SGS servent principalement un objectif autre que le respect des obligations imposées à l’exploitant — par exemple, s’ils visent à répondre aux besoins commerciaux de </w:t>
      </w:r>
      <w:proofErr w:type="spellStart"/>
      <w:r w:rsidRPr="00B24801">
        <w:rPr>
          <w:rFonts w:eastAsia="Times New Roman" w:cs="Times New Roman"/>
        </w:rPr>
        <w:t>Viterra</w:t>
      </w:r>
      <w:proofErr w:type="spellEnd"/>
      <w:r w:rsidRPr="00B24801">
        <w:rPr>
          <w:rFonts w:eastAsia="Times New Roman" w:cs="Times New Roman"/>
        </w:rPr>
        <w:t xml:space="preserve"> en sa qualité de négociante en grains —, l’al. 92(10)c) ne peut avoir pour effet d’étendre la compétence fédérale aux relations du travail de SGS.</w:t>
      </w:r>
    </w:p>
    <w:p w14:paraId="3EC81849" w14:textId="77777777" w:rsidR="007B47A0" w:rsidRPr="00B24801" w:rsidRDefault="007B47A0" w:rsidP="007B47A0">
      <w:pPr>
        <w:pStyle w:val="ParaNoNdepar-AltN"/>
        <w:tabs>
          <w:tab w:val="clear" w:pos="1152"/>
          <w:tab w:val="left" w:pos="1134"/>
        </w:tabs>
        <w:rPr>
          <w:rFonts w:cs="Times New Roman"/>
        </w:rPr>
      </w:pPr>
      <w:bookmarkStart w:id="203" w:name="_Hlk244691396"/>
      <w:r w:rsidRPr="00B24801">
        <w:rPr>
          <w:rFonts w:cs="Times New Roman"/>
        </w:rPr>
        <w:t>Du point de vue de l’entreprise provinciale, j’évalue maintenant la question de l’intégration fonctionnelle en tenant compte séparément de SGS dans son ensemble, de la Division agriculture et agroalimentaire et de la succursale de Montréal</w:t>
      </w:r>
      <w:bookmarkEnd w:id="203"/>
      <w:r w:rsidRPr="00B24801">
        <w:rPr>
          <w:rFonts w:cs="Times New Roman"/>
        </w:rPr>
        <w:t xml:space="preserve">. </w:t>
      </w:r>
      <w:bookmarkStart w:id="204" w:name="_Hlk244691577"/>
      <w:r w:rsidRPr="00B24801">
        <w:rPr>
          <w:rFonts w:cs="Times New Roman"/>
        </w:rPr>
        <w:t>Premièrement</w:t>
      </w:r>
      <w:bookmarkEnd w:id="204"/>
      <w:r w:rsidRPr="00B24801">
        <w:rPr>
          <w:rFonts w:cs="Times New Roman"/>
        </w:rPr>
        <w:t xml:space="preserve">, au moment d’examiner SGS dans son ensemble, le Tribunal a conclu qu’elle œuvrait dans 18 secteurs d’activité au Canada (par. 3). Alors que SGS effectue 80 p. 100 de la vérification et des analyses de grains au Canada, il ne fait aucun doute que </w:t>
      </w:r>
      <w:proofErr w:type="spellStart"/>
      <w:r w:rsidRPr="00B24801">
        <w:rPr>
          <w:rFonts w:cs="Times New Roman"/>
        </w:rPr>
        <w:t>Viterra</w:t>
      </w:r>
      <w:proofErr w:type="spellEnd"/>
      <w:r w:rsidRPr="00B24801">
        <w:rPr>
          <w:rFonts w:cs="Times New Roman"/>
        </w:rPr>
        <w:t xml:space="preserve"> n’est qu’une cliente parmi d’autres, et qu’elle ne représente qu’une petite partie des activités globales de SGS (par. 15, 25 et 27). Par conséquent, </w:t>
      </w:r>
      <w:bookmarkStart w:id="205" w:name="_Hlk244691870"/>
      <w:r w:rsidRPr="00B24801">
        <w:rPr>
          <w:rFonts w:cs="Times New Roman"/>
        </w:rPr>
        <w:t xml:space="preserve">bien que les services de SGS soient sans aucun doute importants pour les opérations de </w:t>
      </w:r>
      <w:proofErr w:type="spellStart"/>
      <w:r w:rsidRPr="00B24801">
        <w:rPr>
          <w:rFonts w:cs="Times New Roman"/>
        </w:rPr>
        <w:t>Viterra</w:t>
      </w:r>
      <w:proofErr w:type="spellEnd"/>
      <w:r w:rsidRPr="00B24801">
        <w:rPr>
          <w:rFonts w:cs="Times New Roman"/>
        </w:rPr>
        <w:t xml:space="preserve"> — un fait qui n’est pas déterminant en soi — on ne peut en dire autant de la dépendance de SGS à l’égard de </w:t>
      </w:r>
      <w:proofErr w:type="spellStart"/>
      <w:r w:rsidRPr="00B24801">
        <w:rPr>
          <w:rFonts w:cs="Times New Roman"/>
        </w:rPr>
        <w:t>Viterra</w:t>
      </w:r>
      <w:bookmarkEnd w:id="205"/>
      <w:proofErr w:type="spellEnd"/>
      <w:r w:rsidRPr="00B24801">
        <w:rPr>
          <w:rFonts w:cs="Times New Roman"/>
        </w:rPr>
        <w:t xml:space="preserve">. </w:t>
      </w:r>
      <w:bookmarkStart w:id="206" w:name="_Hlk244691927"/>
      <w:r w:rsidRPr="00B24801">
        <w:rPr>
          <w:rFonts w:cs="Times New Roman"/>
        </w:rPr>
        <w:t>L’intégration fonctionnelle entre les deux entreprises ne peut donc être établie en fonction de SGS prise dans son ensemble</w:t>
      </w:r>
      <w:bookmarkEnd w:id="206"/>
      <w:r w:rsidRPr="00B24801">
        <w:rPr>
          <w:rFonts w:cs="Times New Roman"/>
        </w:rPr>
        <w:t>.</w:t>
      </w:r>
    </w:p>
    <w:p w14:paraId="1D586D02" w14:textId="77777777" w:rsidR="007B47A0" w:rsidRPr="00B24801" w:rsidRDefault="007B47A0" w:rsidP="007B47A0">
      <w:pPr>
        <w:pStyle w:val="ParaNoNdepar-AltN"/>
        <w:tabs>
          <w:tab w:val="clear" w:pos="1152"/>
          <w:tab w:val="left" w:pos="1134"/>
        </w:tabs>
        <w:rPr>
          <w:rFonts w:cs="Times New Roman"/>
        </w:rPr>
      </w:pPr>
      <w:bookmarkStart w:id="207" w:name="_Hlk244692033"/>
      <w:r w:rsidRPr="00B24801">
        <w:rPr>
          <w:rFonts w:cs="Times New Roman"/>
        </w:rPr>
        <w:t>Deuxièmement</w:t>
      </w:r>
      <w:bookmarkEnd w:id="207"/>
      <w:r w:rsidRPr="00B24801">
        <w:rPr>
          <w:rFonts w:cs="Times New Roman"/>
        </w:rPr>
        <w:t xml:space="preserve">, en ce qui concerne la Division agriculture et agroalimentaire de SGS, elle s’occupe de 80 p. 100 des services d’inspection nécessaires au transport des grains au Canada (motifs du T.A.T., par. 124). Comme dans l’analyse relative à SGS dans son ensemble, </w:t>
      </w:r>
      <w:proofErr w:type="spellStart"/>
      <w:r w:rsidRPr="00B24801">
        <w:rPr>
          <w:rFonts w:cs="Times New Roman"/>
        </w:rPr>
        <w:t>Viterra</w:t>
      </w:r>
      <w:proofErr w:type="spellEnd"/>
      <w:r w:rsidRPr="00B24801">
        <w:rPr>
          <w:rFonts w:cs="Times New Roman"/>
        </w:rPr>
        <w:t xml:space="preserve"> n’est qu’un des nombreux </w:t>
      </w:r>
      <w:r w:rsidRPr="00B24801">
        <w:rPr>
          <w:rFonts w:cs="Times New Roman"/>
        </w:rPr>
        <w:lastRenderedPageBreak/>
        <w:t>clients importants de la Division, et ne constitue donc qu’une petite fraction des opérations globales des huit succursales de cette dernière au Canada. Même s’il s’agit d’un indicateur pertinent pour l’analyse (</w:t>
      </w:r>
      <w:proofErr w:type="spellStart"/>
      <w:r w:rsidRPr="00B24801">
        <w:rPr>
          <w:rFonts w:cs="Times New Roman"/>
          <w:i/>
        </w:rPr>
        <w:t>Northern</w:t>
      </w:r>
      <w:proofErr w:type="spellEnd"/>
      <w:r w:rsidRPr="00B24801">
        <w:rPr>
          <w:rFonts w:cs="Times New Roman"/>
          <w:i/>
        </w:rPr>
        <w:t xml:space="preserve"> Telecom </w:t>
      </w:r>
      <w:r w:rsidRPr="00B24801">
        <w:rPr>
          <w:rFonts w:cs="Times New Roman"/>
        </w:rPr>
        <w:t xml:space="preserve">(1980), p. 135), l’autonomie de la Division au sein de la structure organisationnelle de SGS (par. 23-27 et 91-92), n’est pas déterminante. La dépendance de </w:t>
      </w:r>
      <w:proofErr w:type="spellStart"/>
      <w:r w:rsidRPr="00B24801">
        <w:rPr>
          <w:rFonts w:cs="Times New Roman"/>
        </w:rPr>
        <w:t>Viterra</w:t>
      </w:r>
      <w:proofErr w:type="spellEnd"/>
      <w:r w:rsidRPr="00B24801">
        <w:rPr>
          <w:rFonts w:cs="Times New Roman"/>
        </w:rPr>
        <w:t xml:space="preserve"> à l’égard des services de la Division n’établit pas non plus à elle seule l’intégration fonctionnelle. Puisque </w:t>
      </w:r>
      <w:bookmarkStart w:id="208" w:name="_Hlk244692080"/>
      <w:r w:rsidRPr="00B24801">
        <w:rPr>
          <w:rFonts w:cs="Times New Roman"/>
        </w:rPr>
        <w:t xml:space="preserve">les services qu’elle fournit à </w:t>
      </w:r>
      <w:proofErr w:type="spellStart"/>
      <w:r w:rsidRPr="00B24801">
        <w:rPr>
          <w:rFonts w:cs="Times New Roman"/>
        </w:rPr>
        <w:t>Viterra</w:t>
      </w:r>
      <w:proofErr w:type="spellEnd"/>
      <w:r w:rsidRPr="00B24801">
        <w:rPr>
          <w:rFonts w:cs="Times New Roman"/>
        </w:rPr>
        <w:t xml:space="preserve"> ne constituent pas la majeure partie de l’ensemble des activités de la Division, celle-ci n’est pas intégrée à </w:t>
      </w:r>
      <w:proofErr w:type="spellStart"/>
      <w:r w:rsidRPr="00B24801">
        <w:rPr>
          <w:rFonts w:cs="Times New Roman"/>
        </w:rPr>
        <w:t>Viterra</w:t>
      </w:r>
      <w:proofErr w:type="spellEnd"/>
      <w:r w:rsidRPr="00B24801">
        <w:rPr>
          <w:rFonts w:cs="Times New Roman"/>
        </w:rPr>
        <w:t xml:space="preserve"> sur le plan fonctionnel et ne peut donc être qualifiée d’unité fonctionnelle particulière</w:t>
      </w:r>
      <w:bookmarkEnd w:id="208"/>
      <w:r w:rsidRPr="00B24801">
        <w:rPr>
          <w:rFonts w:cs="Times New Roman"/>
        </w:rPr>
        <w:t>.</w:t>
      </w:r>
    </w:p>
    <w:p w14:paraId="645AB0F4" w14:textId="77777777" w:rsidR="007B47A0" w:rsidRPr="00B24801" w:rsidRDefault="007B47A0" w:rsidP="007B47A0">
      <w:pPr>
        <w:pStyle w:val="ParaNoNdepar-AltN"/>
        <w:tabs>
          <w:tab w:val="clear" w:pos="1152"/>
          <w:tab w:val="left" w:pos="1134"/>
        </w:tabs>
        <w:rPr>
          <w:rFonts w:cs="Times New Roman"/>
        </w:rPr>
      </w:pPr>
      <w:r w:rsidRPr="00B24801">
        <w:rPr>
          <w:rFonts w:cs="Times New Roman"/>
        </w:rPr>
        <w:t xml:space="preserve">Troisièmement, l’analyse de l’intégration fonctionnelle du point de vue de la succursale montréalaise de SGS suscite des doutes comparables quant à savoir si cette dernière — bien qu’elle fasse partie de SGS — a perdu son identité distincte du fait de son intégration à </w:t>
      </w:r>
      <w:proofErr w:type="spellStart"/>
      <w:r w:rsidRPr="00B24801">
        <w:rPr>
          <w:rFonts w:cs="Times New Roman"/>
        </w:rPr>
        <w:t>Viterra</w:t>
      </w:r>
      <w:proofErr w:type="spellEnd"/>
      <w:r w:rsidRPr="00B24801">
        <w:rPr>
          <w:rFonts w:cs="Times New Roman"/>
        </w:rPr>
        <w:t xml:space="preserve">. La dépendance de </w:t>
      </w:r>
      <w:proofErr w:type="spellStart"/>
      <w:r w:rsidRPr="00B24801">
        <w:rPr>
          <w:rFonts w:cs="Times New Roman"/>
        </w:rPr>
        <w:t>Viterra</w:t>
      </w:r>
      <w:proofErr w:type="spellEnd"/>
      <w:r w:rsidRPr="00B24801">
        <w:rPr>
          <w:rFonts w:cs="Times New Roman"/>
        </w:rPr>
        <w:t xml:space="preserve"> à l’égard de SGS n’est pas mise en question, et elle est très similaire à celle d’une activité industrielle qui dépend d’un éventail d’importants fournisseurs, prestataires de services, y compris des services publics. L’évaluation du point de vue de la succursale, toutefois, soulève d’importantes questions.</w:t>
      </w:r>
    </w:p>
    <w:p w14:paraId="06436892" w14:textId="77777777" w:rsidR="007B47A0" w:rsidRPr="00B24801" w:rsidRDefault="007B47A0" w:rsidP="007B47A0">
      <w:pPr>
        <w:pStyle w:val="ParaNoNdepar-AltN"/>
        <w:tabs>
          <w:tab w:val="clear" w:pos="1152"/>
          <w:tab w:val="left" w:pos="1134"/>
        </w:tabs>
        <w:rPr>
          <w:rFonts w:cs="Times New Roman"/>
        </w:rPr>
      </w:pPr>
      <w:r w:rsidRPr="00B24801">
        <w:rPr>
          <w:rFonts w:cs="Times New Roman"/>
        </w:rPr>
        <w:t>Du propre aveu de SGS, les 14 employés de sa succursale de Montréal travaillent auprès des divers clients québécois de l’entreprise selon des horaires de rotation, et « ces horaires ne permettent pas de savoir combien d’heures ont réellement été travaillées par les inspecteurs durant ces journées » chez chacun de ces clients (</w:t>
      </w:r>
      <w:proofErr w:type="spellStart"/>
      <w:r w:rsidRPr="00B24801">
        <w:rPr>
          <w:rFonts w:cs="Times New Roman"/>
        </w:rPr>
        <w:t>m.i</w:t>
      </w:r>
      <w:proofErr w:type="spellEnd"/>
      <w:r w:rsidRPr="00B24801">
        <w:rPr>
          <w:rFonts w:cs="Times New Roman"/>
        </w:rPr>
        <w:t xml:space="preserve">., </w:t>
      </w:r>
      <w:r w:rsidRPr="00B24801">
        <w:rPr>
          <w:rFonts w:cs="Times New Roman"/>
        </w:rPr>
        <w:lastRenderedPageBreak/>
        <w:t xml:space="preserve">par. 50, 63-66 et 68). SGS administre des laboratoires à la fois dans ses propres bureaux et dans les locaux de </w:t>
      </w:r>
      <w:proofErr w:type="spellStart"/>
      <w:r w:rsidRPr="00B24801">
        <w:rPr>
          <w:rFonts w:cs="Times New Roman"/>
        </w:rPr>
        <w:t>Viterra</w:t>
      </w:r>
      <w:proofErr w:type="spellEnd"/>
      <w:r w:rsidRPr="00B24801">
        <w:rPr>
          <w:rFonts w:cs="Times New Roman"/>
        </w:rPr>
        <w:t xml:space="preserve"> au Port de Montréal (motifs du T.A.T., par. 60 et 78). Le Tribunal a conclu que « [t]</w:t>
      </w:r>
      <w:proofErr w:type="spellStart"/>
      <w:r w:rsidRPr="00B24801">
        <w:rPr>
          <w:rFonts w:cs="Times New Roman"/>
        </w:rPr>
        <w:t>ous</w:t>
      </w:r>
      <w:proofErr w:type="spellEnd"/>
      <w:r w:rsidRPr="00B24801">
        <w:rPr>
          <w:rFonts w:cs="Times New Roman"/>
        </w:rPr>
        <w:t xml:space="preserve"> peuvent travailler partout au Québec sur rotation, mais les assignations principales sont à Montréal, Sorel et Trois-Rivières » (par. 61). Même si la démarche « ne dépend pas d’un examen microscopique de la grande quantité de détails fournis dans la description des pratiques quotidiennes de travail » des employés concernés (</w:t>
      </w:r>
      <w:proofErr w:type="spellStart"/>
      <w:r w:rsidRPr="00B24801">
        <w:rPr>
          <w:rFonts w:cs="Times New Roman"/>
          <w:i/>
        </w:rPr>
        <w:t>Northern</w:t>
      </w:r>
      <w:proofErr w:type="spellEnd"/>
      <w:r w:rsidRPr="00B24801">
        <w:rPr>
          <w:rFonts w:cs="Times New Roman"/>
          <w:i/>
        </w:rPr>
        <w:t xml:space="preserve"> Telecom </w:t>
      </w:r>
      <w:r w:rsidRPr="00B24801">
        <w:rPr>
          <w:rFonts w:cs="Times New Roman"/>
        </w:rPr>
        <w:t xml:space="preserve">(1983), p. 760), les conclusions factuelles démontrent que </w:t>
      </w:r>
      <w:bookmarkStart w:id="209" w:name="_Hlk244692534"/>
      <w:r w:rsidRPr="00B24801">
        <w:rPr>
          <w:rFonts w:cs="Times New Roman"/>
        </w:rPr>
        <w:t xml:space="preserve">les employés de la succursale de Montréal ne sont pas physiquement présents chez </w:t>
      </w:r>
      <w:proofErr w:type="spellStart"/>
      <w:r w:rsidRPr="00B24801">
        <w:rPr>
          <w:rFonts w:cs="Times New Roman"/>
        </w:rPr>
        <w:t>Viterra</w:t>
      </w:r>
      <w:proofErr w:type="spellEnd"/>
      <w:r w:rsidRPr="00B24801">
        <w:rPr>
          <w:rFonts w:cs="Times New Roman"/>
        </w:rPr>
        <w:t>, ni chez aucun des cinq autres exploitants au Québec</w:t>
      </w:r>
      <w:bookmarkEnd w:id="209"/>
      <w:r w:rsidRPr="00B24801">
        <w:rPr>
          <w:rFonts w:cs="Times New Roman"/>
        </w:rPr>
        <w:t>. Tout au plus, ces employés consacrent beaucoup de temps, à tour de rôle, aux opérations de trois clients situés à Montréal, Sorel et Trois-Rivières.</w:t>
      </w:r>
    </w:p>
    <w:p w14:paraId="630F5A0A" w14:textId="77777777" w:rsidR="007B47A0" w:rsidRPr="00B24801" w:rsidRDefault="007B47A0" w:rsidP="007B47A0">
      <w:pPr>
        <w:pStyle w:val="ParaNoNdepar-AltN"/>
        <w:tabs>
          <w:tab w:val="clear" w:pos="1152"/>
          <w:tab w:val="left" w:pos="1134"/>
        </w:tabs>
        <w:rPr>
          <w:rFonts w:cs="Times New Roman"/>
        </w:rPr>
      </w:pPr>
      <w:r w:rsidRPr="00B24801">
        <w:rPr>
          <w:rFonts w:cs="Times New Roman"/>
        </w:rPr>
        <w:t xml:space="preserve">Par contraste, dans </w:t>
      </w:r>
      <w:proofErr w:type="spellStart"/>
      <w:r w:rsidRPr="00B24801">
        <w:rPr>
          <w:rFonts w:cs="Times New Roman"/>
          <w:i/>
        </w:rPr>
        <w:t>Northern</w:t>
      </w:r>
      <w:proofErr w:type="spellEnd"/>
      <w:r w:rsidRPr="00B24801">
        <w:rPr>
          <w:rFonts w:cs="Times New Roman"/>
          <w:i/>
        </w:rPr>
        <w:t xml:space="preserve"> Telecom </w:t>
      </w:r>
      <w:r w:rsidRPr="00B24801">
        <w:rPr>
          <w:rFonts w:cs="Times New Roman"/>
        </w:rPr>
        <w:t xml:space="preserve">(1983), l’unité d’employés ayant été jugée « fonctionnellement intégrée » à Bell, l’entreprise fédérale en cause, travaillait « très étroitement » avec les employés de Bell 80 p. 100 du temps, et elle le faisait au lieu d’exploitation de Bell (p. 763). Les employés en l’espèce s’apparentent davantage à ceux de </w:t>
      </w:r>
      <w:r w:rsidRPr="00B24801">
        <w:rPr>
          <w:rFonts w:cs="Times New Roman"/>
          <w:i/>
        </w:rPr>
        <w:t>Construction Montcalm</w:t>
      </w:r>
      <w:r w:rsidRPr="00B24801">
        <w:rPr>
          <w:rFonts w:cs="Times New Roman"/>
        </w:rPr>
        <w:t xml:space="preserve">, qui passaient d’un projet de construction à un autre (p. 776). En effet, les employés de Montréal de SGS </w:t>
      </w:r>
      <w:bookmarkStart w:id="210" w:name="_Hlk244692813"/>
      <w:r w:rsidRPr="00B24801">
        <w:rPr>
          <w:rFonts w:cs="Times New Roman"/>
        </w:rPr>
        <w:t>passent d’un terminal à grains à un autre, en rotation</w:t>
      </w:r>
      <w:bookmarkEnd w:id="210"/>
      <w:r w:rsidRPr="00B24801">
        <w:rPr>
          <w:rFonts w:cs="Times New Roman"/>
        </w:rPr>
        <w:t xml:space="preserve">. Contrairement aux employés dans </w:t>
      </w:r>
      <w:r w:rsidRPr="00B24801">
        <w:rPr>
          <w:rFonts w:cs="Times New Roman"/>
          <w:i/>
        </w:rPr>
        <w:t>Construction Montcalm</w:t>
      </w:r>
      <w:r w:rsidRPr="00B24801">
        <w:rPr>
          <w:rFonts w:cs="Times New Roman"/>
        </w:rPr>
        <w:t xml:space="preserve">, qui fournissaient des services de construction à des entreprises fédérales et à des entreprises provinciales, il appert que les employés de SGS à Montréal effectuent une rotation constante entre les même six terminaux, qui sont tous des ouvrages fédéraux. </w:t>
      </w:r>
      <w:bookmarkStart w:id="211" w:name="_Hlk244692926"/>
      <w:r w:rsidRPr="00B24801">
        <w:rPr>
          <w:rFonts w:cs="Times New Roman"/>
        </w:rPr>
        <w:t xml:space="preserve">Leurs services peuvent en effet être importants pour l’exploitation des six terminaux. Mais </w:t>
      </w:r>
      <w:r w:rsidRPr="00B24801">
        <w:rPr>
          <w:rFonts w:cs="Times New Roman"/>
        </w:rPr>
        <w:lastRenderedPageBreak/>
        <w:t>cela, en soi, ne suffit pas à établir l’intégration fonctionnelle, qui s’attache à la relation entre une entreprise provinciale et une entreprise fédérale</w:t>
      </w:r>
      <w:bookmarkEnd w:id="211"/>
      <w:r w:rsidRPr="00B24801">
        <w:rPr>
          <w:rFonts w:cs="Times New Roman"/>
        </w:rPr>
        <w:t xml:space="preserve">. En l’espèce, </w:t>
      </w:r>
      <w:bookmarkStart w:id="212" w:name="_Hlk244693295"/>
      <w:r w:rsidRPr="00B24801">
        <w:rPr>
          <w:rFonts w:cs="Times New Roman"/>
        </w:rPr>
        <w:t>il n’y a pas non plus d’unité opérationnelle entre les six silos</w:t>
      </w:r>
      <w:bookmarkEnd w:id="212"/>
      <w:r w:rsidRPr="00B24801">
        <w:rPr>
          <w:rFonts w:cs="Times New Roman"/>
        </w:rPr>
        <w:t xml:space="preserve"> — chacun étant exploité indépendamment par des entreprises fédérales rivales — </w:t>
      </w:r>
      <w:bookmarkStart w:id="213" w:name="_Hlk244693396"/>
      <w:r w:rsidRPr="00B24801">
        <w:rPr>
          <w:rFonts w:cs="Times New Roman"/>
        </w:rPr>
        <w:t>d’une manière qui permettrait d’établir l’intégration fonctionnelle aux six silos dans leur ensemble</w:t>
      </w:r>
      <w:bookmarkEnd w:id="213"/>
      <w:r w:rsidRPr="00B24801">
        <w:rPr>
          <w:rFonts w:cs="Times New Roman"/>
        </w:rPr>
        <w:t xml:space="preserve">. Contrairement à ce qu’affirme l’intervenant le procureur général du Canada, interpréter ainsi le critère de l’intégration fonctionnelle ne saurait « produire des résultats artificiels et incohérents » (m. </w:t>
      </w:r>
      <w:proofErr w:type="spellStart"/>
      <w:r w:rsidRPr="00B24801">
        <w:rPr>
          <w:rFonts w:cs="Times New Roman"/>
        </w:rPr>
        <w:t>interv</w:t>
      </w:r>
      <w:proofErr w:type="spellEnd"/>
      <w:r w:rsidRPr="00B24801">
        <w:rPr>
          <w:rFonts w:cs="Times New Roman"/>
        </w:rPr>
        <w:t>., par. 53). Une telle interprétation reflète plutôt la logique sous-tendant la compétence dérivée, qui ne peut avoir pour effet d’étendre la compétence du Parlement en matière de relations de travail — laquelle découle de la compétence directe qu’il exerce sur des entreprises fédérales identifiables — que si l’entreprise provinciale est intégrée à l’entreprise fédérale (</w:t>
      </w:r>
      <w:proofErr w:type="spellStart"/>
      <w:r w:rsidRPr="00B24801">
        <w:rPr>
          <w:rFonts w:cs="Times New Roman"/>
          <w:i/>
        </w:rPr>
        <w:t>Westcoast</w:t>
      </w:r>
      <w:proofErr w:type="spellEnd"/>
      <w:r w:rsidRPr="00B24801">
        <w:rPr>
          <w:rFonts w:cs="Times New Roman"/>
          <w:i/>
        </w:rPr>
        <w:t xml:space="preserve"> Energy</w:t>
      </w:r>
      <w:r w:rsidRPr="00B24801">
        <w:rPr>
          <w:rFonts w:cs="Times New Roman"/>
        </w:rPr>
        <w:t>, par. 159). Les 14 employés de SGS ne travaillent en permanence dans aucun ouvrage fédéral en particulier, et l’on ne peut pas dire non plus que les services qu’ils fournissent à l’un ou l’autre des six terminaux « constituent la totalité ou la majeure partie » des activités de SGS à Montréal (</w:t>
      </w:r>
      <w:r w:rsidRPr="00B24801">
        <w:rPr>
          <w:rFonts w:cs="Times New Roman"/>
          <w:i/>
        </w:rPr>
        <w:t>Tessier</w:t>
      </w:r>
      <w:r w:rsidRPr="00B24801">
        <w:rPr>
          <w:rFonts w:cs="Times New Roman"/>
        </w:rPr>
        <w:t>, par. 48).</w:t>
      </w:r>
    </w:p>
    <w:p w14:paraId="5EFE29E4" w14:textId="77777777" w:rsidR="007B47A0" w:rsidRPr="00B24801" w:rsidRDefault="007B47A0" w:rsidP="007B47A0">
      <w:pPr>
        <w:pStyle w:val="ParaNoNdepar-AltN"/>
        <w:tabs>
          <w:tab w:val="clear" w:pos="1152"/>
          <w:tab w:val="left" w:pos="1134"/>
        </w:tabs>
        <w:rPr>
          <w:rFonts w:cs="Times New Roman"/>
        </w:rPr>
      </w:pPr>
      <w:r w:rsidRPr="00B24801">
        <w:rPr>
          <w:rFonts w:cs="Times New Roman"/>
        </w:rPr>
        <w:t xml:space="preserve">Du reste, je suis d’accord avec l’appelant pour dire qu’« il est impossible de déterminer quelle proportion des services de la succursale est fournie à </w:t>
      </w:r>
      <w:proofErr w:type="spellStart"/>
      <w:r w:rsidRPr="00B24801">
        <w:rPr>
          <w:rFonts w:cs="Times New Roman"/>
        </w:rPr>
        <w:t>Viterra</w:t>
      </w:r>
      <w:proofErr w:type="spellEnd"/>
      <w:r w:rsidRPr="00B24801">
        <w:rPr>
          <w:rFonts w:cs="Times New Roman"/>
        </w:rPr>
        <w:t> » (</w:t>
      </w:r>
      <w:proofErr w:type="spellStart"/>
      <w:r w:rsidRPr="00B24801">
        <w:rPr>
          <w:rFonts w:cs="Times New Roman"/>
        </w:rPr>
        <w:t>m.a</w:t>
      </w:r>
      <w:proofErr w:type="spellEnd"/>
      <w:r w:rsidRPr="00B24801">
        <w:rPr>
          <w:rFonts w:cs="Times New Roman"/>
        </w:rPr>
        <w:t xml:space="preserve">., par. 119). Le Tribunal a conclu que les employés de la succursale consacrent 90 p. 100 de leur temps à six terminaux à grains au Québec, parmi lesquels le terminal de Montréal exploité par </w:t>
      </w:r>
      <w:proofErr w:type="spellStart"/>
      <w:r w:rsidRPr="00B24801">
        <w:rPr>
          <w:rFonts w:cs="Times New Roman"/>
        </w:rPr>
        <w:t>Viterra</w:t>
      </w:r>
      <w:proofErr w:type="spellEnd"/>
      <w:r w:rsidRPr="00B24801">
        <w:rPr>
          <w:rFonts w:cs="Times New Roman"/>
        </w:rPr>
        <w:t xml:space="preserve"> est le plus important (par. 55 et 78). Pour ce motif, la Cour d’appel a conclu que </w:t>
      </w:r>
      <w:proofErr w:type="spellStart"/>
      <w:r w:rsidRPr="00B24801">
        <w:rPr>
          <w:rFonts w:cs="Times New Roman"/>
        </w:rPr>
        <w:t>Viterra</w:t>
      </w:r>
      <w:proofErr w:type="spellEnd"/>
      <w:r w:rsidRPr="00B24801">
        <w:rPr>
          <w:rFonts w:cs="Times New Roman"/>
        </w:rPr>
        <w:t xml:space="preserve"> « tient une place largement dominante eu égard aux </w:t>
      </w:r>
      <w:r w:rsidRPr="00B24801">
        <w:rPr>
          <w:rFonts w:cs="Times New Roman"/>
        </w:rPr>
        <w:lastRenderedPageBreak/>
        <w:t>activités de la succursale » (par. 106). Avec égards, bien qu’il n’y ait pas de « chiffre magique » pour établir l’existence d’une intégration fonctionnelle, la proportion du travail pertinente doit être établie, et elle « doit être très élevée » (</w:t>
      </w:r>
      <w:proofErr w:type="spellStart"/>
      <w:r w:rsidRPr="00B24801">
        <w:rPr>
          <w:rFonts w:cs="Times New Roman"/>
          <w:i/>
        </w:rPr>
        <w:t>Madysta</w:t>
      </w:r>
      <w:proofErr w:type="spellEnd"/>
      <w:r w:rsidRPr="00B24801">
        <w:rPr>
          <w:rFonts w:cs="Times New Roman"/>
        </w:rPr>
        <w:t xml:space="preserve">, par. 101). La jurisprudence de notre Cour nous enseigne que, dans les cas où il a été conclu que la compétence dérivée s’appliquait, pareille proportion avait été expressément établie à partir du dossier factuel (voir, p. ex., </w:t>
      </w:r>
      <w:r w:rsidRPr="00B24801">
        <w:rPr>
          <w:rFonts w:cs="Times New Roman"/>
          <w:i/>
          <w:iCs/>
        </w:rPr>
        <w:t>Union des facteurs</w:t>
      </w:r>
      <w:r w:rsidRPr="00B24801">
        <w:rPr>
          <w:rFonts w:cs="Times New Roman"/>
        </w:rPr>
        <w:t xml:space="preserve">, p. 88; </w:t>
      </w:r>
      <w:proofErr w:type="spellStart"/>
      <w:r w:rsidRPr="00B24801">
        <w:rPr>
          <w:rFonts w:cs="Times New Roman"/>
          <w:i/>
        </w:rPr>
        <w:t>Northern</w:t>
      </w:r>
      <w:proofErr w:type="spellEnd"/>
      <w:r w:rsidRPr="00B24801">
        <w:rPr>
          <w:rFonts w:cs="Times New Roman"/>
          <w:i/>
        </w:rPr>
        <w:t xml:space="preserve"> Telecom </w:t>
      </w:r>
      <w:r w:rsidRPr="00B24801">
        <w:rPr>
          <w:rFonts w:cs="Times New Roman"/>
        </w:rPr>
        <w:t xml:space="preserve">(1983), p. 764). Le Tribunal n’a tiré aucune conclusion factuelle concernant la répartition des activités de la succursale de Montréal entre les clients de SGS (par. 132). Aucune inférence ne peut donc être tirée quant à la proportion de l’ensemble des activités de la succursale de Montréal qui est consacrée à </w:t>
      </w:r>
      <w:proofErr w:type="spellStart"/>
      <w:r w:rsidRPr="00B24801">
        <w:rPr>
          <w:rFonts w:cs="Times New Roman"/>
        </w:rPr>
        <w:t>Viterra</w:t>
      </w:r>
      <w:proofErr w:type="spellEnd"/>
      <w:r w:rsidRPr="00B24801">
        <w:rPr>
          <w:rFonts w:cs="Times New Roman"/>
        </w:rPr>
        <w:t xml:space="preserve">. L’importance des services en cause pour </w:t>
      </w:r>
      <w:proofErr w:type="spellStart"/>
      <w:r w:rsidRPr="00B24801">
        <w:rPr>
          <w:rFonts w:cs="Times New Roman"/>
        </w:rPr>
        <w:t>Viterra</w:t>
      </w:r>
      <w:proofErr w:type="spellEnd"/>
      <w:r w:rsidRPr="00B24801">
        <w:rPr>
          <w:rFonts w:cs="Times New Roman"/>
        </w:rPr>
        <w:t xml:space="preserve"> ne peut pas non plus servir de critère d’analyse de remplacement, contrairement à la conclusion tirée par la Cour supérieure (par. 56). Prenons l’exemple d’un client qui représente la moitié de l’ensemble des activités d’une entreprise provinciale qui dessert également cinq autres clients, représentant chacun 10 p. 100. Ce client est « dominant » parmi les six clients, mais sa part proportionnelle n’est pas suffisante pour établir l’intégration fonctionnelle. Rappelons que le juge Dickson, dans </w:t>
      </w:r>
      <w:proofErr w:type="spellStart"/>
      <w:r w:rsidRPr="00B24801">
        <w:rPr>
          <w:rFonts w:cs="Times New Roman"/>
          <w:i/>
        </w:rPr>
        <w:t>Northern</w:t>
      </w:r>
      <w:proofErr w:type="spellEnd"/>
      <w:r w:rsidRPr="00B24801">
        <w:rPr>
          <w:rFonts w:cs="Times New Roman"/>
          <w:i/>
        </w:rPr>
        <w:t xml:space="preserve"> Telecom </w:t>
      </w:r>
      <w:r w:rsidRPr="00B24801">
        <w:rPr>
          <w:rFonts w:cs="Times New Roman"/>
        </w:rPr>
        <w:t xml:space="preserve">(1983), a conclu qu’une part de 80 p. 100 était « très près de la ligne de démarcation » (p. 774). En toute déférence, rien ne permet d’inférer que la situation de client « dominant » de </w:t>
      </w:r>
      <w:proofErr w:type="spellStart"/>
      <w:r w:rsidRPr="00B24801">
        <w:rPr>
          <w:rFonts w:cs="Times New Roman"/>
        </w:rPr>
        <w:t>Viterra</w:t>
      </w:r>
      <w:proofErr w:type="spellEnd"/>
      <w:r w:rsidRPr="00B24801">
        <w:rPr>
          <w:rFonts w:cs="Times New Roman"/>
        </w:rPr>
        <w:t xml:space="preserve"> est suffisante pour satisfaire à la condition requise du point de vue de l’entreprise provinciale (motifs de la C.S., par. 51; motifs de la C.A., par. 105-106).</w:t>
      </w:r>
    </w:p>
    <w:p w14:paraId="5799FE1F" w14:textId="77777777" w:rsidR="007B47A0" w:rsidRPr="00B24801" w:rsidRDefault="007B47A0" w:rsidP="007B47A0">
      <w:pPr>
        <w:pStyle w:val="ParaNoNdepar-AltN"/>
        <w:tabs>
          <w:tab w:val="clear" w:pos="1152"/>
          <w:tab w:val="left" w:pos="1134"/>
        </w:tabs>
        <w:rPr>
          <w:rFonts w:cs="Times New Roman"/>
        </w:rPr>
      </w:pPr>
      <w:r w:rsidRPr="00B24801">
        <w:rPr>
          <w:rFonts w:cs="Times New Roman"/>
        </w:rPr>
        <w:lastRenderedPageBreak/>
        <w:t xml:space="preserve">En l’absence de conclusion quant à la proportion des services de SGS consacrés à </w:t>
      </w:r>
      <w:proofErr w:type="spellStart"/>
      <w:r w:rsidRPr="00B24801">
        <w:rPr>
          <w:rFonts w:cs="Times New Roman"/>
        </w:rPr>
        <w:t>Viterra</w:t>
      </w:r>
      <w:proofErr w:type="spellEnd"/>
      <w:r w:rsidRPr="00B24801">
        <w:rPr>
          <w:rFonts w:cs="Times New Roman"/>
        </w:rPr>
        <w:t xml:space="preserve">, </w:t>
      </w:r>
      <w:bookmarkStart w:id="214" w:name="_Hlk244692325"/>
      <w:r w:rsidRPr="00B24801">
        <w:rPr>
          <w:rFonts w:cs="Times New Roman"/>
        </w:rPr>
        <w:t xml:space="preserve">on ne peut dire de la succursale de Montréal qu’elle est « intégrée fonctionnellement » à </w:t>
      </w:r>
      <w:proofErr w:type="spellStart"/>
      <w:r w:rsidRPr="00B24801">
        <w:rPr>
          <w:rFonts w:cs="Times New Roman"/>
        </w:rPr>
        <w:t>Viterra</w:t>
      </w:r>
      <w:proofErr w:type="spellEnd"/>
      <w:r w:rsidRPr="00B24801">
        <w:rPr>
          <w:rFonts w:cs="Times New Roman"/>
        </w:rPr>
        <w:t>, ni qu’elle constitue une « unité fonctionnelle particulièr</w:t>
      </w:r>
      <w:bookmarkEnd w:id="214"/>
      <w:r w:rsidRPr="00B24801">
        <w:rPr>
          <w:rFonts w:cs="Times New Roman"/>
        </w:rPr>
        <w:t>e » distincte du reste de SGS. De plus, le Tribunal s’est appuyé sur d’autres indicateurs qui créent de l’incertitude. La structure organisationnelle de SGS, dans le cadre de laquelle un gestionnaire, depuis Montréal, supervisait la succursale, semble avoir eu un certain poids dans la conclusion du Tribunal selon laquelle la succursale était autonome (par. 23; voir aussi motifs de la C.S., par. 36). Ce gestionnaire, cependant, supervisait toutes les activités de la Division agriculture et agroalimentaire au Québec et dans les Maritimes (</w:t>
      </w:r>
      <w:r w:rsidRPr="00B24801">
        <w:rPr>
          <w:rFonts w:cs="Times New Roman"/>
          <w:i/>
        </w:rPr>
        <w:t>ibid</w:t>
      </w:r>
      <w:r w:rsidRPr="00B24801">
        <w:rPr>
          <w:rFonts w:cs="Times New Roman"/>
        </w:rPr>
        <w:t xml:space="preserve">.). Le Tribunal a également semblé attribuer à la succursale des conclusions qui concernaient l’autonomie de la </w:t>
      </w:r>
      <w:r w:rsidRPr="00B24801">
        <w:rPr>
          <w:rFonts w:cs="Times New Roman"/>
          <w:i/>
        </w:rPr>
        <w:t>Division</w:t>
      </w:r>
      <w:r w:rsidRPr="00B24801">
        <w:rPr>
          <w:rFonts w:cs="Times New Roman"/>
        </w:rPr>
        <w:t xml:space="preserve">, en estimant que l’unité d’analyse était « la Division de SGS au Québec » (par. 92, comparativement aux </w:t>
      </w:r>
      <w:proofErr w:type="spellStart"/>
      <w:r w:rsidRPr="00B24801">
        <w:rPr>
          <w:rFonts w:cs="Times New Roman"/>
        </w:rPr>
        <w:t>par</w:t>
      </w:r>
      <w:proofErr w:type="spellEnd"/>
      <w:r w:rsidRPr="00B24801">
        <w:rPr>
          <w:rFonts w:cs="Times New Roman"/>
        </w:rPr>
        <w:t>. 20-21 et 91). Avec égards, la Cour d’appel a fait preuve de la même ambiguïté dans ses motifs, en attribuant à la succursale les conclusions du Tribunal concernant l’indépendance opérationnelle, financière et administrative de la Division, sans explication (par. 58-59). Bien que ces facteurs ne soient pas déterminants, ils remettent en question les conclusions des tribunaux d’instance inférieure.</w:t>
      </w:r>
    </w:p>
    <w:p w14:paraId="49B6D37D" w14:textId="77777777" w:rsidR="007B47A0" w:rsidRPr="00B24801" w:rsidRDefault="007B47A0" w:rsidP="007B47A0">
      <w:pPr>
        <w:pStyle w:val="ParaNoNdepar-AltN"/>
        <w:tabs>
          <w:tab w:val="clear" w:pos="1152"/>
          <w:tab w:val="left" w:pos="1134"/>
        </w:tabs>
        <w:rPr>
          <w:rFonts w:cs="Times New Roman"/>
        </w:rPr>
      </w:pPr>
      <w:bookmarkStart w:id="215" w:name="_Ref242797742"/>
      <w:r w:rsidRPr="00B24801">
        <w:rPr>
          <w:rFonts w:cs="Times New Roman"/>
        </w:rPr>
        <w:t xml:space="preserve">La compétence fédérale demeure une exception au pouvoir exclusif sur les relations de travail confié aux provinces par le droit constitutionnel canadien, et elle est régie par les critères de compétence directe et de compétence dérivée établis dans la jurisprudence. Le fardeau de la preuve incombe à SGS à chaque étape de l’analyse. L’absence d’intégration fonctionnelle entre </w:t>
      </w:r>
      <w:proofErr w:type="spellStart"/>
      <w:r w:rsidRPr="00B24801">
        <w:rPr>
          <w:rFonts w:cs="Times New Roman"/>
        </w:rPr>
        <w:t>Viterra</w:t>
      </w:r>
      <w:proofErr w:type="spellEnd"/>
      <w:r w:rsidRPr="00B24801">
        <w:rPr>
          <w:rFonts w:cs="Times New Roman"/>
        </w:rPr>
        <w:t xml:space="preserve"> et SGS dans son ensemble n’est pas </w:t>
      </w:r>
      <w:r w:rsidRPr="00B24801">
        <w:rPr>
          <w:rFonts w:cs="Times New Roman"/>
        </w:rPr>
        <w:lastRenderedPageBreak/>
        <w:t xml:space="preserve">contestée. Ni la Division agriculture et agroalimentaire ni la succursale de Montréal ne peuvent être considérées comme fonctionnellement intégrées à </w:t>
      </w:r>
      <w:proofErr w:type="spellStart"/>
      <w:r w:rsidRPr="00B24801">
        <w:rPr>
          <w:rFonts w:cs="Times New Roman"/>
        </w:rPr>
        <w:t>Viterra</w:t>
      </w:r>
      <w:proofErr w:type="spellEnd"/>
      <w:r w:rsidRPr="00B24801">
        <w:rPr>
          <w:rFonts w:cs="Times New Roman"/>
        </w:rPr>
        <w:t xml:space="preserve"> de manière à former une unité fonctionnelle particulière, distincte du reste de SGS. Autrement dit, ni la Division ni la succursale n’ont perdu leur identité distincte en tant que composante de SGS, une entreprise provinciale. En effet, les acheteurs internationaux de </w:t>
      </w:r>
      <w:proofErr w:type="spellStart"/>
      <w:r w:rsidRPr="00B24801">
        <w:rPr>
          <w:rFonts w:cs="Times New Roman"/>
        </w:rPr>
        <w:t>Viterra</w:t>
      </w:r>
      <w:proofErr w:type="spellEnd"/>
      <w:r w:rsidRPr="00B24801">
        <w:rPr>
          <w:rFonts w:cs="Times New Roman"/>
        </w:rPr>
        <w:t xml:space="preserve"> accordent foi à l’indépendance des résultats d’inspection de SGS précisément parce que celle-ci conserve une identité distincte. Par conséquent, la compétence dérivée ne s’applique pas. Les employés de SGS qui font partie de l’unité de négociation proposée relèvent de la compétence provinciale.</w:t>
      </w:r>
      <w:bookmarkEnd w:id="215"/>
    </w:p>
    <w:p w14:paraId="05DC2F4A" w14:textId="77777777" w:rsidR="007B47A0" w:rsidRPr="00B24801" w:rsidRDefault="007B47A0" w:rsidP="007B47A0">
      <w:pPr>
        <w:pStyle w:val="Title1LevelTitre1Niveau-AltL"/>
        <w:numPr>
          <w:ilvl w:val="0"/>
          <w:numId w:val="21"/>
        </w:numPr>
        <w:ind w:left="578" w:hanging="578"/>
        <w:jc w:val="both"/>
        <w:rPr>
          <w:rFonts w:cs="Times New Roman"/>
        </w:rPr>
      </w:pPr>
      <w:bookmarkStart w:id="216" w:name="_Toc232027342"/>
      <w:bookmarkStart w:id="217" w:name="_Toc232617615"/>
      <w:bookmarkStart w:id="218" w:name="_Toc233556398"/>
      <w:bookmarkStart w:id="219" w:name="_Toc233853048"/>
      <w:bookmarkStart w:id="220" w:name="_Toc233980587"/>
      <w:bookmarkStart w:id="221" w:name="_Toc242797539"/>
      <w:bookmarkEnd w:id="195"/>
      <w:r w:rsidRPr="00B24801">
        <w:rPr>
          <w:rFonts w:cs="Times New Roman"/>
        </w:rPr>
        <w:t>Dispositif</w:t>
      </w:r>
      <w:bookmarkEnd w:id="216"/>
      <w:bookmarkEnd w:id="217"/>
      <w:bookmarkEnd w:id="218"/>
      <w:bookmarkEnd w:id="219"/>
      <w:bookmarkEnd w:id="220"/>
      <w:bookmarkEnd w:id="221"/>
    </w:p>
    <w:p w14:paraId="6B0EEB4B" w14:textId="77777777" w:rsidR="007B47A0" w:rsidRPr="00B24801" w:rsidRDefault="007B47A0" w:rsidP="007B47A0">
      <w:pPr>
        <w:pStyle w:val="ParaNoNdepar-AltN"/>
        <w:rPr>
          <w:rFonts w:cs="Times New Roman"/>
        </w:rPr>
      </w:pPr>
      <w:bookmarkStart w:id="222" w:name="_Ref232027462"/>
      <w:bookmarkStart w:id="223" w:name="_Ref233556524"/>
      <w:r w:rsidRPr="00B24801">
        <w:rPr>
          <w:rFonts w:cs="Times New Roman"/>
        </w:rPr>
        <w:t>Pour ces motifs, je suis d’avis d’accueillir le pourvoi avec dépens</w:t>
      </w:r>
      <w:bookmarkEnd w:id="222"/>
      <w:r w:rsidRPr="00B24801">
        <w:rPr>
          <w:rFonts w:cs="Times New Roman"/>
        </w:rPr>
        <w:t xml:space="preserve">, d’annuler les jugements de la Cour supérieure et de la Cour d’appel, de casser la décision du Tribunal, d’accueillir la demande de contrôle judiciaire, et de déclarer que le </w:t>
      </w:r>
      <w:r w:rsidRPr="00B24801">
        <w:rPr>
          <w:rFonts w:cs="Times New Roman"/>
          <w:i/>
        </w:rPr>
        <w:t>Code du travail</w:t>
      </w:r>
      <w:r w:rsidRPr="00B24801">
        <w:rPr>
          <w:rFonts w:cs="Times New Roman"/>
        </w:rPr>
        <w:t xml:space="preserve"> du Québec s’applique à la requête en accréditation.</w:t>
      </w:r>
      <w:bookmarkEnd w:id="223"/>
      <w:r w:rsidRPr="00B24801">
        <w:rPr>
          <w:rFonts w:cs="Times New Roman"/>
        </w:rPr>
        <w:t xml:space="preserve"> </w:t>
      </w:r>
    </w:p>
    <w:p w14:paraId="36658C0A" w14:textId="77777777" w:rsidR="001162C6" w:rsidRPr="00B24801" w:rsidRDefault="00167D15">
      <w:pPr>
        <w:pStyle w:val="SCCNormalDoubleSpacing"/>
        <w:widowControl w:val="0"/>
        <w:spacing w:after="480"/>
        <w:rPr>
          <w:lang w:val="fr-FR"/>
        </w:rPr>
      </w:pPr>
      <w:r w:rsidRPr="00B24801">
        <w:rPr>
          <w:lang w:val="fr-FR"/>
        </w:rPr>
        <w:tab/>
      </w:r>
      <w:r w:rsidRPr="00B24801">
        <w:rPr>
          <w:i/>
          <w:lang w:val="fr-FR"/>
        </w:rPr>
        <w:t>Pourvoi rejeté</w:t>
      </w:r>
      <w:r w:rsidR="0041513A" w:rsidRPr="00B24801">
        <w:rPr>
          <w:i/>
          <w:lang w:val="fr-FR"/>
        </w:rPr>
        <w:t xml:space="preserve"> avec dépens</w:t>
      </w:r>
      <w:r w:rsidRPr="00B24801">
        <w:rPr>
          <w:i/>
          <w:lang w:val="fr-FR"/>
        </w:rPr>
        <w:t xml:space="preserve">, le juge en chef </w:t>
      </w:r>
      <w:r w:rsidRPr="00B24801">
        <w:rPr>
          <w:smallCaps/>
          <w:lang w:val="fr-CA"/>
        </w:rPr>
        <w:t>Wagner</w:t>
      </w:r>
      <w:r w:rsidRPr="00B24801">
        <w:rPr>
          <w:i/>
          <w:lang w:val="fr-CA"/>
        </w:rPr>
        <w:t xml:space="preserve"> et les juges </w:t>
      </w:r>
      <w:r w:rsidRPr="00B24801">
        <w:rPr>
          <w:smallCaps/>
          <w:lang w:val="fr-CA"/>
        </w:rPr>
        <w:t>Côté</w:t>
      </w:r>
      <w:r w:rsidRPr="00B24801">
        <w:rPr>
          <w:i/>
          <w:lang w:val="fr-CA"/>
        </w:rPr>
        <w:t xml:space="preserve">, </w:t>
      </w:r>
      <w:proofErr w:type="spellStart"/>
      <w:r w:rsidRPr="00B24801">
        <w:rPr>
          <w:smallCaps/>
          <w:lang w:val="fr-CA"/>
        </w:rPr>
        <w:t>Kasirer</w:t>
      </w:r>
      <w:proofErr w:type="spellEnd"/>
      <w:r w:rsidRPr="00B24801">
        <w:rPr>
          <w:i/>
          <w:lang w:val="fr-CA"/>
        </w:rPr>
        <w:t xml:space="preserve"> et </w:t>
      </w:r>
      <w:r w:rsidRPr="00B24801">
        <w:rPr>
          <w:smallCaps/>
          <w:lang w:val="fr-CA"/>
        </w:rPr>
        <w:t>O’Bonsawin</w:t>
      </w:r>
      <w:r w:rsidRPr="00B24801">
        <w:rPr>
          <w:i/>
          <w:lang w:val="fr-CA"/>
        </w:rPr>
        <w:t xml:space="preserve"> sont dissidents</w:t>
      </w:r>
      <w:r w:rsidRPr="00B24801">
        <w:rPr>
          <w:i/>
          <w:lang w:val="fr-FR"/>
        </w:rPr>
        <w:t>.</w:t>
      </w:r>
    </w:p>
    <w:p w14:paraId="70BA35C5" w14:textId="77777777" w:rsidR="001162C6" w:rsidRPr="00B24801" w:rsidRDefault="00167D15">
      <w:pPr>
        <w:pStyle w:val="SCCLawFirm"/>
        <w:widowControl w:val="0"/>
        <w:spacing w:after="480"/>
        <w:rPr>
          <w:lang w:val="fr-FR"/>
        </w:rPr>
      </w:pPr>
      <w:r w:rsidRPr="00B24801">
        <w:rPr>
          <w:lang w:val="fr-FR"/>
        </w:rPr>
        <w:tab/>
        <w:t xml:space="preserve">Procureurs de l’appelant : Bernard, Roy &amp; Associés, </w:t>
      </w:r>
      <w:proofErr w:type="gramStart"/>
      <w:r w:rsidRPr="00B24801">
        <w:rPr>
          <w:lang w:val="fr-FR"/>
        </w:rPr>
        <w:t>Montréal;</w:t>
      </w:r>
      <w:proofErr w:type="gramEnd"/>
      <w:r w:rsidRPr="00B24801">
        <w:rPr>
          <w:lang w:val="fr-FR"/>
        </w:rPr>
        <w:t xml:space="preserve"> </w:t>
      </w:r>
      <w:proofErr w:type="gramStart"/>
      <w:r w:rsidRPr="00B24801">
        <w:rPr>
          <w:lang w:val="fr-FR"/>
        </w:rPr>
        <w:t>Ministère</w:t>
      </w:r>
      <w:proofErr w:type="gramEnd"/>
      <w:r w:rsidRPr="00B24801">
        <w:rPr>
          <w:lang w:val="fr-FR"/>
        </w:rPr>
        <w:t xml:space="preserve"> de la Justice du Québec </w:t>
      </w:r>
      <w:bookmarkStart w:id="224" w:name="_Hlk243981157"/>
      <w:r w:rsidRPr="00B24801">
        <w:rPr>
          <w:rStyle w:val="SCCCounselPartyRoleChar"/>
          <w:lang w:val="fr-FR"/>
        </w:rPr>
        <w:t>—</w:t>
      </w:r>
      <w:bookmarkEnd w:id="224"/>
      <w:r w:rsidRPr="00B24801">
        <w:rPr>
          <w:lang w:val="fr-FR"/>
        </w:rPr>
        <w:t xml:space="preserve"> Direction du droit constitutionnel et autochtone, Québec.</w:t>
      </w:r>
    </w:p>
    <w:p w14:paraId="32ADB41D" w14:textId="77777777" w:rsidR="001162C6" w:rsidRPr="00B24801" w:rsidRDefault="00167D15">
      <w:pPr>
        <w:pStyle w:val="SCCLawFirm"/>
        <w:widowControl w:val="0"/>
        <w:spacing w:after="480"/>
        <w:rPr>
          <w:lang w:val="fr-FR"/>
        </w:rPr>
      </w:pPr>
      <w:r w:rsidRPr="00B24801">
        <w:rPr>
          <w:lang w:val="fr-FR"/>
        </w:rPr>
        <w:tab/>
        <w:t>Procureurs de l’intimée : Miller Thomson, Montréal.</w:t>
      </w:r>
    </w:p>
    <w:p w14:paraId="4CE38597" w14:textId="77777777" w:rsidR="001162C6" w:rsidRPr="00B24801" w:rsidRDefault="00167D15">
      <w:pPr>
        <w:pStyle w:val="SCCLawFirm"/>
        <w:widowControl w:val="0"/>
        <w:spacing w:after="480"/>
        <w:rPr>
          <w:lang w:val="fr-FR"/>
        </w:rPr>
      </w:pPr>
      <w:r w:rsidRPr="00B24801">
        <w:rPr>
          <w:lang w:val="fr-FR"/>
        </w:rPr>
        <w:lastRenderedPageBreak/>
        <w:tab/>
        <w:t xml:space="preserve">Procureurs de l’intervenant le procureur général du Canada : Procureur général du Canada </w:t>
      </w:r>
      <w:bookmarkStart w:id="225" w:name="_Hlk243982280"/>
      <w:r w:rsidRPr="00B24801">
        <w:rPr>
          <w:rStyle w:val="SCCCounselPartyRoleChar"/>
          <w:lang w:val="fr-FR"/>
        </w:rPr>
        <w:t>—</w:t>
      </w:r>
      <w:bookmarkEnd w:id="225"/>
      <w:r w:rsidRPr="00B24801">
        <w:rPr>
          <w:lang w:val="fr-FR"/>
        </w:rPr>
        <w:t xml:space="preserve"> Secteur national du contentieux, Toronto.</w:t>
      </w:r>
    </w:p>
    <w:p w14:paraId="4F88CF84" w14:textId="77777777" w:rsidR="001162C6" w:rsidRPr="00B24801" w:rsidRDefault="00167D15">
      <w:pPr>
        <w:pStyle w:val="SCCLawFirm"/>
        <w:widowControl w:val="0"/>
        <w:spacing w:after="480"/>
        <w:rPr>
          <w:lang w:val="fr-FR"/>
        </w:rPr>
      </w:pPr>
      <w:r w:rsidRPr="00B24801">
        <w:rPr>
          <w:lang w:val="fr-FR"/>
        </w:rPr>
        <w:tab/>
        <w:t xml:space="preserve">Procureurs de l’intervenant le procureur général de l’Ontario : Ministère du procureur général de l’Ontario </w:t>
      </w:r>
      <w:r w:rsidRPr="00B24801">
        <w:rPr>
          <w:rStyle w:val="SCCCounselPartyRoleChar"/>
          <w:lang w:val="fr-FR"/>
        </w:rPr>
        <w:t>— Division du droit civil — Direction du droit constitutionnel,</w:t>
      </w:r>
      <w:r w:rsidRPr="00B24801">
        <w:rPr>
          <w:lang w:val="fr-FR"/>
        </w:rPr>
        <w:t xml:space="preserve"> Toronto.</w:t>
      </w:r>
    </w:p>
    <w:p w14:paraId="4E8DD6BD" w14:textId="77777777" w:rsidR="001162C6" w:rsidRPr="00B24801" w:rsidRDefault="00167D15">
      <w:pPr>
        <w:pStyle w:val="SCCLawFirm"/>
        <w:widowControl w:val="0"/>
        <w:spacing w:after="480"/>
        <w:rPr>
          <w:lang w:val="fr-FR"/>
        </w:rPr>
      </w:pPr>
      <w:r w:rsidRPr="00B24801">
        <w:rPr>
          <w:lang w:val="fr-FR"/>
        </w:rPr>
        <w:tab/>
        <w:t xml:space="preserve">Procureur de l’intervenant le procureur général de la Saskatchewan : Attorney General of Saskatchewan, Regina. </w:t>
      </w:r>
    </w:p>
    <w:p w14:paraId="3273FE0E" w14:textId="77777777" w:rsidR="001162C6" w:rsidRPr="00B24801" w:rsidRDefault="00167D15">
      <w:pPr>
        <w:pStyle w:val="SCCLawFirm"/>
        <w:widowControl w:val="0"/>
        <w:spacing w:after="480"/>
        <w:rPr>
          <w:lang w:val="fr-FR"/>
        </w:rPr>
      </w:pPr>
      <w:r w:rsidRPr="00B24801">
        <w:rPr>
          <w:lang w:val="fr-FR"/>
        </w:rPr>
        <w:tab/>
        <w:t xml:space="preserve">Procureur de l’intervenant le procureur général de l’Alberta : </w:t>
      </w:r>
      <w:bookmarkStart w:id="226" w:name="_Hlk243985038"/>
      <w:r w:rsidRPr="00B24801">
        <w:rPr>
          <w:lang w:val="fr-FR"/>
        </w:rPr>
        <w:t xml:space="preserve">Alberta Justice </w:t>
      </w:r>
      <w:r w:rsidRPr="00B24801">
        <w:rPr>
          <w:rStyle w:val="SCCCounselPartyRoleChar"/>
          <w:lang w:val="fr-FR"/>
        </w:rPr>
        <w:t xml:space="preserve">— </w:t>
      </w:r>
      <w:proofErr w:type="spellStart"/>
      <w:r w:rsidRPr="00B24801">
        <w:rPr>
          <w:lang w:val="fr-FR"/>
        </w:rPr>
        <w:t>Constitutional</w:t>
      </w:r>
      <w:proofErr w:type="spellEnd"/>
      <w:r w:rsidRPr="00B24801">
        <w:rPr>
          <w:lang w:val="fr-FR"/>
        </w:rPr>
        <w:t xml:space="preserve"> and </w:t>
      </w:r>
      <w:proofErr w:type="spellStart"/>
      <w:r w:rsidRPr="00B24801">
        <w:rPr>
          <w:lang w:val="fr-FR"/>
        </w:rPr>
        <w:t>Aboriginal</w:t>
      </w:r>
      <w:proofErr w:type="spellEnd"/>
      <w:r w:rsidRPr="00B24801">
        <w:rPr>
          <w:lang w:val="fr-FR"/>
        </w:rPr>
        <w:t xml:space="preserve"> Law</w:t>
      </w:r>
      <w:bookmarkEnd w:id="226"/>
      <w:r w:rsidRPr="00B24801">
        <w:rPr>
          <w:lang w:val="fr-FR"/>
        </w:rPr>
        <w:t xml:space="preserve">, Calgary. </w:t>
      </w:r>
    </w:p>
    <w:p w14:paraId="26E6406B" w14:textId="77777777" w:rsidR="001162C6" w:rsidRDefault="00167D15">
      <w:pPr>
        <w:pStyle w:val="SCCLawFirm"/>
        <w:widowControl w:val="0"/>
        <w:spacing w:after="480"/>
        <w:rPr>
          <w:lang w:val="fr-FR"/>
        </w:rPr>
      </w:pPr>
      <w:r w:rsidRPr="00B24801">
        <w:rPr>
          <w:lang w:val="fr-FR"/>
        </w:rPr>
        <w:tab/>
        <w:t xml:space="preserve">Procureurs de l’intervenant le Syndicat des travailleuses et travailleurs des industries manufacturières </w:t>
      </w:r>
      <w:bookmarkStart w:id="227" w:name="_Hlk244499320"/>
      <w:r w:rsidRPr="00B24801">
        <w:rPr>
          <w:rStyle w:val="SCCCounselPartyRoleChar"/>
          <w:lang w:val="fr-FR"/>
        </w:rPr>
        <w:t>–</w:t>
      </w:r>
      <w:bookmarkEnd w:id="227"/>
      <w:r w:rsidRPr="00B24801">
        <w:rPr>
          <w:lang w:val="fr-FR"/>
        </w:rPr>
        <w:t xml:space="preserve"> CSN : Laroche Martin, Montréal.</w:t>
      </w:r>
    </w:p>
    <w:sectPr w:rsidR="001162C6" w:rsidSect="00764BA1">
      <w:headerReference w:type="default" r:id="rId9"/>
      <w:pgSz w:w="12240" w:h="15840"/>
      <w:pgMar w:top="1267" w:right="2160" w:bottom="720" w:left="1800" w:header="1802"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9A875" w14:textId="77777777" w:rsidR="00FB3BB8" w:rsidRDefault="00FB3BB8">
      <w:r>
        <w:separator/>
      </w:r>
    </w:p>
  </w:endnote>
  <w:endnote w:type="continuationSeparator" w:id="0">
    <w:p w14:paraId="2F56776F" w14:textId="77777777" w:rsidR="00FB3BB8" w:rsidRDefault="00FB3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auto"/>
    <w:pitch w:val="default"/>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DFBDC" w14:textId="77777777" w:rsidR="00FB3BB8" w:rsidRDefault="00FB3BB8">
      <w:r>
        <w:separator/>
      </w:r>
    </w:p>
  </w:footnote>
  <w:footnote w:type="continuationSeparator" w:id="0">
    <w:p w14:paraId="7682956E" w14:textId="77777777" w:rsidR="00FB3BB8" w:rsidRDefault="00FB3BB8">
      <w:r>
        <w:continuationSeparator/>
      </w:r>
    </w:p>
  </w:footnote>
  <w:footnote w:id="1">
    <w:p w14:paraId="1AC29856" w14:textId="77777777" w:rsidR="009E6D25" w:rsidRDefault="009E6D25" w:rsidP="00B751E6">
      <w:pPr>
        <w:pStyle w:val="Notedebasdepage"/>
      </w:pPr>
      <w:r>
        <w:rPr>
          <w:rStyle w:val="Appelnotedebasdep"/>
        </w:rPr>
        <w:footnoteRef/>
      </w:r>
      <w:r>
        <w:tab/>
      </w:r>
      <w:r w:rsidRPr="00D51D03">
        <w:t xml:space="preserve">Les mentions des six silos à grains le long du fleuve St-Laurent en l’espèce renvoient toutes à des « installation[s] terminale[s] » ou « silo[s] termina[ux] » à grains, qui sont des termes définis à l’art. 2 de la </w:t>
      </w:r>
      <w:r w:rsidRPr="00D51D03">
        <w:rPr>
          <w:i/>
          <w:iCs/>
        </w:rPr>
        <w:t>Loi sur les grains du Canada</w:t>
      </w:r>
      <w:r w:rsidRPr="00D51D03">
        <w:t>.</w:t>
      </w:r>
    </w:p>
  </w:footnote>
  <w:footnote w:id="2">
    <w:p w14:paraId="365AC8B9" w14:textId="77777777" w:rsidR="009E6D25" w:rsidRDefault="009E6D25" w:rsidP="00B751E6">
      <w:pPr>
        <w:pStyle w:val="Notedebasdepage"/>
      </w:pPr>
      <w:r>
        <w:rPr>
          <w:rStyle w:val="Appelnotedebasdep"/>
        </w:rPr>
        <w:footnoteRef/>
      </w:r>
      <w:r>
        <w:tab/>
      </w:r>
      <w:r w:rsidRPr="00D51D03">
        <w:t xml:space="preserve">Voir </w:t>
      </w:r>
      <w:r w:rsidRPr="00D51D03">
        <w:rPr>
          <w:i/>
          <w:iCs/>
        </w:rPr>
        <w:t>Jorgenson c. Procureur général du Canada</w:t>
      </w:r>
      <w:r w:rsidRPr="00D51D03">
        <w:t>, [1971] R.C.S. 725, p. 730 (pour l’historique de ce paragraphe et de la déclaration).</w:t>
      </w:r>
    </w:p>
  </w:footnote>
  <w:footnote w:id="3">
    <w:p w14:paraId="53D344DC" w14:textId="77777777" w:rsidR="009E6D25" w:rsidRDefault="009E6D25" w:rsidP="00B751E6">
      <w:pPr>
        <w:pStyle w:val="Notedebasdepage"/>
      </w:pPr>
      <w:r>
        <w:rPr>
          <w:rStyle w:val="Appelnotedebasdep"/>
        </w:rPr>
        <w:footnoteRef/>
      </w:r>
      <w:r>
        <w:tab/>
      </w:r>
      <w:r w:rsidRPr="00D51D03">
        <w:t>Par souci de commodité, je désignerai ces 14 inspecteurs et agents de classement comme la succursale de Montréal tout au long des présents motifs.</w:t>
      </w:r>
    </w:p>
  </w:footnote>
  <w:footnote w:id="4">
    <w:p w14:paraId="6B059C16" w14:textId="77777777" w:rsidR="009E6D25" w:rsidRDefault="009E6D25" w:rsidP="00B751E6">
      <w:pPr>
        <w:pStyle w:val="Notedebasdepage"/>
      </w:pPr>
      <w:r>
        <w:rPr>
          <w:rStyle w:val="Appelnotedebasdep"/>
        </w:rPr>
        <w:footnoteRef/>
      </w:r>
      <w:r>
        <w:tab/>
      </w:r>
      <w:r w:rsidRPr="00D51D03">
        <w:t>Selon l’organigramme au dossier, la succursale de Vancouver est la seule qui se rapporte à un [</w:t>
      </w:r>
      <w:r w:rsidRPr="00D51D03">
        <w:rPr>
          <w:smallCaps/>
        </w:rPr>
        <w:t>traduction</w:t>
      </w:r>
      <w:r w:rsidRPr="00D51D03">
        <w:t>] « directeur de la biomasse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950008"/>
      <w:docPartObj>
        <w:docPartGallery w:val="Page Numbers (Top of Page)"/>
        <w:docPartUnique/>
      </w:docPartObj>
    </w:sdtPr>
    <w:sdtContent>
      <w:p w14:paraId="34051D27" w14:textId="6294E129" w:rsidR="00764BA1" w:rsidRDefault="00764BA1">
        <w:pPr>
          <w:pStyle w:val="En-tte"/>
          <w:jc w:val="center"/>
        </w:pPr>
        <w:r>
          <w:fldChar w:fldCharType="begin"/>
        </w:r>
        <w:r>
          <w:instrText>PAGE   \* MERGEFORMAT</w:instrText>
        </w:r>
        <w:r>
          <w:fldChar w:fldCharType="separate"/>
        </w:r>
        <w:r>
          <w:rPr>
            <w:lang w:val="fr-CA"/>
          </w:rPr>
          <w:t>2</w:t>
        </w:r>
        <w:r>
          <w:fldChar w:fldCharType="end"/>
        </w:r>
      </w:p>
    </w:sdtContent>
  </w:sdt>
  <w:p w14:paraId="6F28C961" w14:textId="77777777" w:rsidR="00764BA1" w:rsidRDefault="00764BA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C48A1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C9E84A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6B8A7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B929F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24606A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A88135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63C46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1046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B22D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47EE50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E44CE4"/>
    <w:multiLevelType w:val="hybridMultilevel"/>
    <w:tmpl w:val="99EEA454"/>
    <w:lvl w:ilvl="0" w:tplc="10090019">
      <w:start w:val="1"/>
      <w:numFmt w:val="lowerLetter"/>
      <w:lvlText w:val="%1."/>
      <w:lvlJc w:val="left"/>
      <w:pPr>
        <w:ind w:left="1886" w:hanging="360"/>
      </w:pPr>
    </w:lvl>
    <w:lvl w:ilvl="1" w:tplc="10090019" w:tentative="1">
      <w:start w:val="1"/>
      <w:numFmt w:val="lowerLetter"/>
      <w:lvlText w:val="%2."/>
      <w:lvlJc w:val="left"/>
      <w:pPr>
        <w:ind w:left="2606" w:hanging="360"/>
      </w:pPr>
    </w:lvl>
    <w:lvl w:ilvl="2" w:tplc="1009001B" w:tentative="1">
      <w:start w:val="1"/>
      <w:numFmt w:val="lowerRoman"/>
      <w:lvlText w:val="%3."/>
      <w:lvlJc w:val="right"/>
      <w:pPr>
        <w:ind w:left="3326" w:hanging="180"/>
      </w:pPr>
    </w:lvl>
    <w:lvl w:ilvl="3" w:tplc="1009000F" w:tentative="1">
      <w:start w:val="1"/>
      <w:numFmt w:val="decimal"/>
      <w:lvlText w:val="%4."/>
      <w:lvlJc w:val="left"/>
      <w:pPr>
        <w:ind w:left="4046" w:hanging="360"/>
      </w:pPr>
    </w:lvl>
    <w:lvl w:ilvl="4" w:tplc="10090019" w:tentative="1">
      <w:start w:val="1"/>
      <w:numFmt w:val="lowerLetter"/>
      <w:lvlText w:val="%5."/>
      <w:lvlJc w:val="left"/>
      <w:pPr>
        <w:ind w:left="4766" w:hanging="360"/>
      </w:pPr>
    </w:lvl>
    <w:lvl w:ilvl="5" w:tplc="1009001B" w:tentative="1">
      <w:start w:val="1"/>
      <w:numFmt w:val="lowerRoman"/>
      <w:lvlText w:val="%6."/>
      <w:lvlJc w:val="right"/>
      <w:pPr>
        <w:ind w:left="5486" w:hanging="180"/>
      </w:pPr>
    </w:lvl>
    <w:lvl w:ilvl="6" w:tplc="1009000F" w:tentative="1">
      <w:start w:val="1"/>
      <w:numFmt w:val="decimal"/>
      <w:lvlText w:val="%7."/>
      <w:lvlJc w:val="left"/>
      <w:pPr>
        <w:ind w:left="6206" w:hanging="360"/>
      </w:pPr>
    </w:lvl>
    <w:lvl w:ilvl="7" w:tplc="10090019" w:tentative="1">
      <w:start w:val="1"/>
      <w:numFmt w:val="lowerLetter"/>
      <w:lvlText w:val="%8."/>
      <w:lvlJc w:val="left"/>
      <w:pPr>
        <w:ind w:left="6926" w:hanging="360"/>
      </w:pPr>
    </w:lvl>
    <w:lvl w:ilvl="8" w:tplc="1009001B" w:tentative="1">
      <w:start w:val="1"/>
      <w:numFmt w:val="lowerRoman"/>
      <w:lvlText w:val="%9."/>
      <w:lvlJc w:val="right"/>
      <w:pPr>
        <w:ind w:left="7646" w:hanging="180"/>
      </w:pPr>
    </w:lvl>
  </w:abstractNum>
  <w:abstractNum w:abstractNumId="11" w15:restartNumberingAfterBreak="0">
    <w:nsid w:val="0110749F"/>
    <w:multiLevelType w:val="hybridMultilevel"/>
    <w:tmpl w:val="AD26250A"/>
    <w:lvl w:ilvl="0" w:tplc="1009000F">
      <w:start w:val="1"/>
      <w:numFmt w:val="decimal"/>
      <w:lvlText w:val="%1."/>
      <w:lvlJc w:val="left"/>
      <w:pPr>
        <w:ind w:left="1526" w:hanging="360"/>
      </w:pPr>
      <w:rPr>
        <w:rFonts w:hint="default"/>
      </w:rPr>
    </w:lvl>
    <w:lvl w:ilvl="1" w:tplc="10090019">
      <w:start w:val="1"/>
      <w:numFmt w:val="lowerLetter"/>
      <w:lvlText w:val="%2."/>
      <w:lvlJc w:val="left"/>
      <w:pPr>
        <w:ind w:left="2246" w:hanging="360"/>
      </w:pPr>
    </w:lvl>
    <w:lvl w:ilvl="2" w:tplc="1009001B" w:tentative="1">
      <w:start w:val="1"/>
      <w:numFmt w:val="lowerRoman"/>
      <w:lvlText w:val="%3."/>
      <w:lvlJc w:val="right"/>
      <w:pPr>
        <w:ind w:left="2966" w:hanging="180"/>
      </w:pPr>
    </w:lvl>
    <w:lvl w:ilvl="3" w:tplc="1009000F" w:tentative="1">
      <w:start w:val="1"/>
      <w:numFmt w:val="decimal"/>
      <w:lvlText w:val="%4."/>
      <w:lvlJc w:val="left"/>
      <w:pPr>
        <w:ind w:left="3686" w:hanging="360"/>
      </w:pPr>
    </w:lvl>
    <w:lvl w:ilvl="4" w:tplc="10090019" w:tentative="1">
      <w:start w:val="1"/>
      <w:numFmt w:val="lowerLetter"/>
      <w:lvlText w:val="%5."/>
      <w:lvlJc w:val="left"/>
      <w:pPr>
        <w:ind w:left="4406" w:hanging="360"/>
      </w:pPr>
    </w:lvl>
    <w:lvl w:ilvl="5" w:tplc="1009001B" w:tentative="1">
      <w:start w:val="1"/>
      <w:numFmt w:val="lowerRoman"/>
      <w:lvlText w:val="%6."/>
      <w:lvlJc w:val="right"/>
      <w:pPr>
        <w:ind w:left="5126" w:hanging="180"/>
      </w:pPr>
    </w:lvl>
    <w:lvl w:ilvl="6" w:tplc="1009000F" w:tentative="1">
      <w:start w:val="1"/>
      <w:numFmt w:val="decimal"/>
      <w:lvlText w:val="%7."/>
      <w:lvlJc w:val="left"/>
      <w:pPr>
        <w:ind w:left="5846" w:hanging="360"/>
      </w:pPr>
    </w:lvl>
    <w:lvl w:ilvl="7" w:tplc="10090019" w:tentative="1">
      <w:start w:val="1"/>
      <w:numFmt w:val="lowerLetter"/>
      <w:lvlText w:val="%8."/>
      <w:lvlJc w:val="left"/>
      <w:pPr>
        <w:ind w:left="6566" w:hanging="360"/>
      </w:pPr>
    </w:lvl>
    <w:lvl w:ilvl="8" w:tplc="1009001B" w:tentative="1">
      <w:start w:val="1"/>
      <w:numFmt w:val="lowerRoman"/>
      <w:lvlText w:val="%9."/>
      <w:lvlJc w:val="right"/>
      <w:pPr>
        <w:ind w:left="7286" w:hanging="180"/>
      </w:pPr>
    </w:lvl>
  </w:abstractNum>
  <w:abstractNum w:abstractNumId="12" w15:restartNumberingAfterBreak="0">
    <w:nsid w:val="075569B6"/>
    <w:multiLevelType w:val="hybridMultilevel"/>
    <w:tmpl w:val="F8FCA2DA"/>
    <w:lvl w:ilvl="0" w:tplc="61743808">
      <w:start w:val="1"/>
      <w:numFmt w:val="decimal"/>
      <w:lvlText w:val="%1)"/>
      <w:lvlJc w:val="left"/>
      <w:pPr>
        <w:ind w:left="1526" w:hanging="360"/>
      </w:pPr>
      <w:rPr>
        <w:rFonts w:hint="default"/>
      </w:rPr>
    </w:lvl>
    <w:lvl w:ilvl="1" w:tplc="10090019">
      <w:start w:val="1"/>
      <w:numFmt w:val="lowerLetter"/>
      <w:lvlText w:val="%2."/>
      <w:lvlJc w:val="left"/>
      <w:pPr>
        <w:ind w:left="2246" w:hanging="360"/>
      </w:pPr>
    </w:lvl>
    <w:lvl w:ilvl="2" w:tplc="1009001B" w:tentative="1">
      <w:start w:val="1"/>
      <w:numFmt w:val="lowerRoman"/>
      <w:lvlText w:val="%3."/>
      <w:lvlJc w:val="right"/>
      <w:pPr>
        <w:ind w:left="2966" w:hanging="180"/>
      </w:pPr>
    </w:lvl>
    <w:lvl w:ilvl="3" w:tplc="1009000F" w:tentative="1">
      <w:start w:val="1"/>
      <w:numFmt w:val="decimal"/>
      <w:lvlText w:val="%4."/>
      <w:lvlJc w:val="left"/>
      <w:pPr>
        <w:ind w:left="3686" w:hanging="360"/>
      </w:pPr>
    </w:lvl>
    <w:lvl w:ilvl="4" w:tplc="10090019" w:tentative="1">
      <w:start w:val="1"/>
      <w:numFmt w:val="lowerLetter"/>
      <w:lvlText w:val="%5."/>
      <w:lvlJc w:val="left"/>
      <w:pPr>
        <w:ind w:left="4406" w:hanging="360"/>
      </w:pPr>
    </w:lvl>
    <w:lvl w:ilvl="5" w:tplc="1009001B" w:tentative="1">
      <w:start w:val="1"/>
      <w:numFmt w:val="lowerRoman"/>
      <w:lvlText w:val="%6."/>
      <w:lvlJc w:val="right"/>
      <w:pPr>
        <w:ind w:left="5126" w:hanging="180"/>
      </w:pPr>
    </w:lvl>
    <w:lvl w:ilvl="6" w:tplc="1009000F" w:tentative="1">
      <w:start w:val="1"/>
      <w:numFmt w:val="decimal"/>
      <w:lvlText w:val="%7."/>
      <w:lvlJc w:val="left"/>
      <w:pPr>
        <w:ind w:left="5846" w:hanging="360"/>
      </w:pPr>
    </w:lvl>
    <w:lvl w:ilvl="7" w:tplc="10090019" w:tentative="1">
      <w:start w:val="1"/>
      <w:numFmt w:val="lowerLetter"/>
      <w:lvlText w:val="%8."/>
      <w:lvlJc w:val="left"/>
      <w:pPr>
        <w:ind w:left="6566" w:hanging="360"/>
      </w:pPr>
    </w:lvl>
    <w:lvl w:ilvl="8" w:tplc="1009001B" w:tentative="1">
      <w:start w:val="1"/>
      <w:numFmt w:val="lowerRoman"/>
      <w:lvlText w:val="%9."/>
      <w:lvlJc w:val="right"/>
      <w:pPr>
        <w:ind w:left="7286" w:hanging="180"/>
      </w:pPr>
    </w:lvl>
  </w:abstractNum>
  <w:abstractNum w:abstractNumId="13" w15:restartNumberingAfterBreak="0">
    <w:nsid w:val="13DE5340"/>
    <w:multiLevelType w:val="hybridMultilevel"/>
    <w:tmpl w:val="99EEA454"/>
    <w:lvl w:ilvl="0" w:tplc="10090019">
      <w:start w:val="1"/>
      <w:numFmt w:val="lowerLetter"/>
      <w:lvlText w:val="%1."/>
      <w:lvlJc w:val="left"/>
      <w:pPr>
        <w:ind w:left="1886" w:hanging="360"/>
      </w:pPr>
    </w:lvl>
    <w:lvl w:ilvl="1" w:tplc="10090019" w:tentative="1">
      <w:start w:val="1"/>
      <w:numFmt w:val="lowerLetter"/>
      <w:lvlText w:val="%2."/>
      <w:lvlJc w:val="left"/>
      <w:pPr>
        <w:ind w:left="2606" w:hanging="360"/>
      </w:pPr>
    </w:lvl>
    <w:lvl w:ilvl="2" w:tplc="1009001B" w:tentative="1">
      <w:start w:val="1"/>
      <w:numFmt w:val="lowerRoman"/>
      <w:lvlText w:val="%3."/>
      <w:lvlJc w:val="right"/>
      <w:pPr>
        <w:ind w:left="3326" w:hanging="180"/>
      </w:pPr>
    </w:lvl>
    <w:lvl w:ilvl="3" w:tplc="1009000F" w:tentative="1">
      <w:start w:val="1"/>
      <w:numFmt w:val="decimal"/>
      <w:lvlText w:val="%4."/>
      <w:lvlJc w:val="left"/>
      <w:pPr>
        <w:ind w:left="4046" w:hanging="360"/>
      </w:pPr>
    </w:lvl>
    <w:lvl w:ilvl="4" w:tplc="10090019" w:tentative="1">
      <w:start w:val="1"/>
      <w:numFmt w:val="lowerLetter"/>
      <w:lvlText w:val="%5."/>
      <w:lvlJc w:val="left"/>
      <w:pPr>
        <w:ind w:left="4766" w:hanging="360"/>
      </w:pPr>
    </w:lvl>
    <w:lvl w:ilvl="5" w:tplc="1009001B" w:tentative="1">
      <w:start w:val="1"/>
      <w:numFmt w:val="lowerRoman"/>
      <w:lvlText w:val="%6."/>
      <w:lvlJc w:val="right"/>
      <w:pPr>
        <w:ind w:left="5486" w:hanging="180"/>
      </w:pPr>
    </w:lvl>
    <w:lvl w:ilvl="6" w:tplc="1009000F" w:tentative="1">
      <w:start w:val="1"/>
      <w:numFmt w:val="decimal"/>
      <w:lvlText w:val="%7."/>
      <w:lvlJc w:val="left"/>
      <w:pPr>
        <w:ind w:left="6206" w:hanging="360"/>
      </w:pPr>
    </w:lvl>
    <w:lvl w:ilvl="7" w:tplc="10090019" w:tentative="1">
      <w:start w:val="1"/>
      <w:numFmt w:val="lowerLetter"/>
      <w:lvlText w:val="%8."/>
      <w:lvlJc w:val="left"/>
      <w:pPr>
        <w:ind w:left="6926" w:hanging="360"/>
      </w:pPr>
    </w:lvl>
    <w:lvl w:ilvl="8" w:tplc="1009001B" w:tentative="1">
      <w:start w:val="1"/>
      <w:numFmt w:val="lowerRoman"/>
      <w:lvlText w:val="%9."/>
      <w:lvlJc w:val="right"/>
      <w:pPr>
        <w:ind w:left="7646" w:hanging="180"/>
      </w:pPr>
    </w:lvl>
  </w:abstractNum>
  <w:abstractNum w:abstractNumId="14" w15:restartNumberingAfterBreak="0">
    <w:nsid w:val="30E32680"/>
    <w:multiLevelType w:val="hybridMultilevel"/>
    <w:tmpl w:val="99EEA454"/>
    <w:lvl w:ilvl="0" w:tplc="10090019">
      <w:start w:val="1"/>
      <w:numFmt w:val="lowerLetter"/>
      <w:lvlText w:val="%1."/>
      <w:lvlJc w:val="left"/>
      <w:pPr>
        <w:ind w:left="1886" w:hanging="360"/>
      </w:pPr>
    </w:lvl>
    <w:lvl w:ilvl="1" w:tplc="10090019" w:tentative="1">
      <w:start w:val="1"/>
      <w:numFmt w:val="lowerLetter"/>
      <w:lvlText w:val="%2."/>
      <w:lvlJc w:val="left"/>
      <w:pPr>
        <w:ind w:left="2606" w:hanging="360"/>
      </w:pPr>
    </w:lvl>
    <w:lvl w:ilvl="2" w:tplc="1009001B" w:tentative="1">
      <w:start w:val="1"/>
      <w:numFmt w:val="lowerRoman"/>
      <w:lvlText w:val="%3."/>
      <w:lvlJc w:val="right"/>
      <w:pPr>
        <w:ind w:left="3326" w:hanging="180"/>
      </w:pPr>
    </w:lvl>
    <w:lvl w:ilvl="3" w:tplc="1009000F" w:tentative="1">
      <w:start w:val="1"/>
      <w:numFmt w:val="decimal"/>
      <w:lvlText w:val="%4."/>
      <w:lvlJc w:val="left"/>
      <w:pPr>
        <w:ind w:left="4046" w:hanging="360"/>
      </w:pPr>
    </w:lvl>
    <w:lvl w:ilvl="4" w:tplc="10090019" w:tentative="1">
      <w:start w:val="1"/>
      <w:numFmt w:val="lowerLetter"/>
      <w:lvlText w:val="%5."/>
      <w:lvlJc w:val="left"/>
      <w:pPr>
        <w:ind w:left="4766" w:hanging="360"/>
      </w:pPr>
    </w:lvl>
    <w:lvl w:ilvl="5" w:tplc="1009001B" w:tentative="1">
      <w:start w:val="1"/>
      <w:numFmt w:val="lowerRoman"/>
      <w:lvlText w:val="%6."/>
      <w:lvlJc w:val="right"/>
      <w:pPr>
        <w:ind w:left="5486" w:hanging="180"/>
      </w:pPr>
    </w:lvl>
    <w:lvl w:ilvl="6" w:tplc="1009000F" w:tentative="1">
      <w:start w:val="1"/>
      <w:numFmt w:val="decimal"/>
      <w:lvlText w:val="%7."/>
      <w:lvlJc w:val="left"/>
      <w:pPr>
        <w:ind w:left="6206" w:hanging="360"/>
      </w:pPr>
    </w:lvl>
    <w:lvl w:ilvl="7" w:tplc="10090019" w:tentative="1">
      <w:start w:val="1"/>
      <w:numFmt w:val="lowerLetter"/>
      <w:lvlText w:val="%8."/>
      <w:lvlJc w:val="left"/>
      <w:pPr>
        <w:ind w:left="6926" w:hanging="360"/>
      </w:pPr>
    </w:lvl>
    <w:lvl w:ilvl="8" w:tplc="1009001B" w:tentative="1">
      <w:start w:val="1"/>
      <w:numFmt w:val="lowerRoman"/>
      <w:lvlText w:val="%9."/>
      <w:lvlJc w:val="right"/>
      <w:pPr>
        <w:ind w:left="7646" w:hanging="180"/>
      </w:pPr>
    </w:lvl>
  </w:abstractNum>
  <w:abstractNum w:abstractNumId="15" w15:restartNumberingAfterBreak="0">
    <w:nsid w:val="40CB5D50"/>
    <w:multiLevelType w:val="hybridMultilevel"/>
    <w:tmpl w:val="17184BB4"/>
    <w:lvl w:ilvl="0" w:tplc="1009000F">
      <w:start w:val="1"/>
      <w:numFmt w:val="decimal"/>
      <w:lvlText w:val="%1."/>
      <w:lvlJc w:val="left"/>
      <w:pPr>
        <w:ind w:left="2880" w:hanging="360"/>
      </w:pPr>
    </w:lvl>
    <w:lvl w:ilvl="1" w:tplc="10090019" w:tentative="1">
      <w:start w:val="1"/>
      <w:numFmt w:val="lowerLetter"/>
      <w:lvlText w:val="%2."/>
      <w:lvlJc w:val="left"/>
      <w:pPr>
        <w:ind w:left="3600" w:hanging="360"/>
      </w:pPr>
    </w:lvl>
    <w:lvl w:ilvl="2" w:tplc="1009001B" w:tentative="1">
      <w:start w:val="1"/>
      <w:numFmt w:val="lowerRoman"/>
      <w:lvlText w:val="%3."/>
      <w:lvlJc w:val="right"/>
      <w:pPr>
        <w:ind w:left="4320" w:hanging="180"/>
      </w:pPr>
    </w:lvl>
    <w:lvl w:ilvl="3" w:tplc="1009000F" w:tentative="1">
      <w:start w:val="1"/>
      <w:numFmt w:val="decimal"/>
      <w:lvlText w:val="%4."/>
      <w:lvlJc w:val="left"/>
      <w:pPr>
        <w:ind w:left="5040" w:hanging="360"/>
      </w:pPr>
    </w:lvl>
    <w:lvl w:ilvl="4" w:tplc="10090019" w:tentative="1">
      <w:start w:val="1"/>
      <w:numFmt w:val="lowerLetter"/>
      <w:lvlText w:val="%5."/>
      <w:lvlJc w:val="left"/>
      <w:pPr>
        <w:ind w:left="5760" w:hanging="360"/>
      </w:pPr>
    </w:lvl>
    <w:lvl w:ilvl="5" w:tplc="1009001B" w:tentative="1">
      <w:start w:val="1"/>
      <w:numFmt w:val="lowerRoman"/>
      <w:lvlText w:val="%6."/>
      <w:lvlJc w:val="right"/>
      <w:pPr>
        <w:ind w:left="6480" w:hanging="180"/>
      </w:pPr>
    </w:lvl>
    <w:lvl w:ilvl="6" w:tplc="1009000F" w:tentative="1">
      <w:start w:val="1"/>
      <w:numFmt w:val="decimal"/>
      <w:lvlText w:val="%7."/>
      <w:lvlJc w:val="left"/>
      <w:pPr>
        <w:ind w:left="7200" w:hanging="360"/>
      </w:pPr>
    </w:lvl>
    <w:lvl w:ilvl="7" w:tplc="10090019" w:tentative="1">
      <w:start w:val="1"/>
      <w:numFmt w:val="lowerLetter"/>
      <w:lvlText w:val="%8."/>
      <w:lvlJc w:val="left"/>
      <w:pPr>
        <w:ind w:left="7920" w:hanging="360"/>
      </w:pPr>
    </w:lvl>
    <w:lvl w:ilvl="8" w:tplc="1009001B" w:tentative="1">
      <w:start w:val="1"/>
      <w:numFmt w:val="lowerRoman"/>
      <w:lvlText w:val="%9."/>
      <w:lvlJc w:val="right"/>
      <w:pPr>
        <w:ind w:left="8640" w:hanging="180"/>
      </w:pPr>
    </w:lvl>
  </w:abstractNum>
  <w:abstractNum w:abstractNumId="16" w15:restartNumberingAfterBreak="0">
    <w:nsid w:val="4603130A"/>
    <w:multiLevelType w:val="multilevel"/>
    <w:tmpl w:val="660438CE"/>
    <w:lvl w:ilvl="0">
      <w:start w:val="1"/>
      <w:numFmt w:val="upperRoman"/>
      <w:pStyle w:val="Title1LevelTitre1Niveau-AltL"/>
      <w:lvlText w:val="%1."/>
      <w:lvlJc w:val="left"/>
      <w:pPr>
        <w:tabs>
          <w:tab w:val="num" w:pos="576"/>
        </w:tabs>
        <w:ind w:left="576" w:hanging="576"/>
      </w:pPr>
      <w:rPr>
        <w:rFonts w:hint="default"/>
        <w:sz w:val="24"/>
      </w:rPr>
    </w:lvl>
    <w:lvl w:ilvl="1">
      <w:start w:val="1"/>
      <w:numFmt w:val="upperLetter"/>
      <w:pStyle w:val="Title2LevelTitre2Niveau"/>
      <w:lvlText w:val="%2."/>
      <w:lvlJc w:val="left"/>
      <w:pPr>
        <w:tabs>
          <w:tab w:val="num" w:pos="576"/>
        </w:tabs>
        <w:ind w:left="576" w:hanging="576"/>
      </w:pPr>
      <w:rPr>
        <w:rFonts w:ascii="Times New Roman" w:hAnsi="Times New Roman" w:hint="default"/>
        <w:b w:val="0"/>
        <w:i w:val="0"/>
        <w:sz w:val="24"/>
      </w:rPr>
    </w:lvl>
    <w:lvl w:ilvl="2">
      <w:start w:val="1"/>
      <w:numFmt w:val="decimal"/>
      <w:pStyle w:val="Title3LevelTitre3Niveau"/>
      <w:lvlText w:val="(%3)"/>
      <w:lvlJc w:val="left"/>
      <w:pPr>
        <w:tabs>
          <w:tab w:val="num" w:pos="1152"/>
        </w:tabs>
        <w:ind w:left="1152" w:hanging="576"/>
      </w:pPr>
      <w:rPr>
        <w:rFonts w:ascii="Times New Roman" w:hAnsi="Times New Roman" w:hint="default"/>
        <w:b w:val="0"/>
        <w:i w:val="0"/>
        <w:sz w:val="24"/>
      </w:rPr>
    </w:lvl>
    <w:lvl w:ilvl="3">
      <w:start w:val="1"/>
      <w:numFmt w:val="lowerLetter"/>
      <w:pStyle w:val="Title4LevelTitre4Niveau"/>
      <w:lvlText w:val="(%4)"/>
      <w:lvlJc w:val="left"/>
      <w:pPr>
        <w:tabs>
          <w:tab w:val="num" w:pos="1152"/>
        </w:tabs>
        <w:ind w:left="1152" w:hanging="576"/>
      </w:pPr>
      <w:rPr>
        <w:rFonts w:hint="default"/>
        <w:b w:val="0"/>
        <w:i w:val="0"/>
      </w:rPr>
    </w:lvl>
    <w:lvl w:ilvl="4">
      <w:start w:val="1"/>
      <w:numFmt w:val="lowerRoman"/>
      <w:pStyle w:val="Title5LevelTitre5Niveau"/>
      <w:lvlText w:val="(%5)"/>
      <w:lvlJc w:val="left"/>
      <w:pPr>
        <w:tabs>
          <w:tab w:val="num" w:pos="1728"/>
        </w:tabs>
        <w:ind w:left="1728" w:hanging="576"/>
      </w:pPr>
      <w:rPr>
        <w:rFonts w:hint="default"/>
      </w:rPr>
    </w:lvl>
    <w:lvl w:ilvl="5">
      <w:start w:val="1"/>
      <w:numFmt w:val="decimal"/>
      <w:pStyle w:val="Title6LevelTitre6Niveau"/>
      <w:lvlText w:val="%6."/>
      <w:lvlJc w:val="left"/>
      <w:pPr>
        <w:tabs>
          <w:tab w:val="num" w:pos="1728"/>
        </w:tabs>
        <w:ind w:left="1728" w:hanging="576"/>
      </w:pPr>
      <w:rPr>
        <w:rFonts w:hint="default"/>
      </w:rPr>
    </w:lvl>
    <w:lvl w:ilvl="6">
      <w:start w:val="1"/>
      <w:numFmt w:val="decimal"/>
      <w:lvlText w:val="%7."/>
      <w:lvlJc w:val="left"/>
      <w:pPr>
        <w:ind w:left="8208" w:hanging="432"/>
      </w:pPr>
      <w:rPr>
        <w:rFonts w:hint="default"/>
      </w:rPr>
    </w:lvl>
    <w:lvl w:ilvl="7">
      <w:start w:val="1"/>
      <w:numFmt w:val="lowerLetter"/>
      <w:lvlText w:val="%8."/>
      <w:lvlJc w:val="left"/>
      <w:pPr>
        <w:ind w:left="8640" w:hanging="432"/>
      </w:pPr>
      <w:rPr>
        <w:rFonts w:hint="default"/>
      </w:rPr>
    </w:lvl>
    <w:lvl w:ilvl="8">
      <w:start w:val="1"/>
      <w:numFmt w:val="lowerRoman"/>
      <w:lvlText w:val="%9."/>
      <w:lvlJc w:val="left"/>
      <w:pPr>
        <w:ind w:left="9072" w:hanging="432"/>
      </w:pPr>
      <w:rPr>
        <w:rFonts w:hint="default"/>
      </w:rPr>
    </w:lvl>
  </w:abstractNum>
  <w:abstractNum w:abstractNumId="17" w15:restartNumberingAfterBreak="0">
    <w:nsid w:val="48BB78AE"/>
    <w:multiLevelType w:val="hybridMultilevel"/>
    <w:tmpl w:val="99EEA454"/>
    <w:lvl w:ilvl="0" w:tplc="10090019">
      <w:start w:val="1"/>
      <w:numFmt w:val="lowerLetter"/>
      <w:lvlText w:val="%1."/>
      <w:lvlJc w:val="left"/>
      <w:pPr>
        <w:ind w:left="1886" w:hanging="360"/>
      </w:pPr>
    </w:lvl>
    <w:lvl w:ilvl="1" w:tplc="10090019" w:tentative="1">
      <w:start w:val="1"/>
      <w:numFmt w:val="lowerLetter"/>
      <w:lvlText w:val="%2."/>
      <w:lvlJc w:val="left"/>
      <w:pPr>
        <w:ind w:left="2606" w:hanging="360"/>
      </w:pPr>
    </w:lvl>
    <w:lvl w:ilvl="2" w:tplc="1009001B" w:tentative="1">
      <w:start w:val="1"/>
      <w:numFmt w:val="lowerRoman"/>
      <w:lvlText w:val="%3."/>
      <w:lvlJc w:val="right"/>
      <w:pPr>
        <w:ind w:left="3326" w:hanging="180"/>
      </w:pPr>
    </w:lvl>
    <w:lvl w:ilvl="3" w:tplc="1009000F" w:tentative="1">
      <w:start w:val="1"/>
      <w:numFmt w:val="decimal"/>
      <w:lvlText w:val="%4."/>
      <w:lvlJc w:val="left"/>
      <w:pPr>
        <w:ind w:left="4046" w:hanging="360"/>
      </w:pPr>
    </w:lvl>
    <w:lvl w:ilvl="4" w:tplc="10090019" w:tentative="1">
      <w:start w:val="1"/>
      <w:numFmt w:val="lowerLetter"/>
      <w:lvlText w:val="%5."/>
      <w:lvlJc w:val="left"/>
      <w:pPr>
        <w:ind w:left="4766" w:hanging="360"/>
      </w:pPr>
    </w:lvl>
    <w:lvl w:ilvl="5" w:tplc="1009001B" w:tentative="1">
      <w:start w:val="1"/>
      <w:numFmt w:val="lowerRoman"/>
      <w:lvlText w:val="%6."/>
      <w:lvlJc w:val="right"/>
      <w:pPr>
        <w:ind w:left="5486" w:hanging="180"/>
      </w:pPr>
    </w:lvl>
    <w:lvl w:ilvl="6" w:tplc="1009000F" w:tentative="1">
      <w:start w:val="1"/>
      <w:numFmt w:val="decimal"/>
      <w:lvlText w:val="%7."/>
      <w:lvlJc w:val="left"/>
      <w:pPr>
        <w:ind w:left="6206" w:hanging="360"/>
      </w:pPr>
    </w:lvl>
    <w:lvl w:ilvl="7" w:tplc="10090019" w:tentative="1">
      <w:start w:val="1"/>
      <w:numFmt w:val="lowerLetter"/>
      <w:lvlText w:val="%8."/>
      <w:lvlJc w:val="left"/>
      <w:pPr>
        <w:ind w:left="6926" w:hanging="360"/>
      </w:pPr>
    </w:lvl>
    <w:lvl w:ilvl="8" w:tplc="1009001B" w:tentative="1">
      <w:start w:val="1"/>
      <w:numFmt w:val="lowerRoman"/>
      <w:lvlText w:val="%9."/>
      <w:lvlJc w:val="right"/>
      <w:pPr>
        <w:ind w:left="7646" w:hanging="180"/>
      </w:pPr>
    </w:lvl>
  </w:abstractNum>
  <w:abstractNum w:abstractNumId="18" w15:restartNumberingAfterBreak="0">
    <w:nsid w:val="54283EE8"/>
    <w:multiLevelType w:val="multilevel"/>
    <w:tmpl w:val="6ECE44CC"/>
    <w:lvl w:ilvl="0">
      <w:start w:val="1"/>
      <w:numFmt w:val="decimal"/>
      <w:pStyle w:val="ParaNoNdepar-AltN"/>
      <w:lvlText w:val="[%1]"/>
      <w:lvlJc w:val="left"/>
      <w:pPr>
        <w:tabs>
          <w:tab w:val="num" w:pos="1152"/>
        </w:tabs>
        <w:ind w:left="0" w:firstLine="0"/>
      </w:pPr>
      <w:rPr>
        <w:rFonts w:ascii="Times New Roman" w:hAnsi="Times New Roman" w:hint="default"/>
        <w:i w:val="0"/>
        <w:strike w:val="0"/>
        <w:color w:val="auto"/>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B05187F"/>
    <w:multiLevelType w:val="hybridMultilevel"/>
    <w:tmpl w:val="D8B641A6"/>
    <w:lvl w:ilvl="0" w:tplc="F2DC8132">
      <w:start w:val="1"/>
      <w:numFmt w:val="lowerRoman"/>
      <w:lvlText w:val="(%1)"/>
      <w:lvlJc w:val="left"/>
      <w:pPr>
        <w:ind w:left="1919" w:hanging="360"/>
      </w:pPr>
      <w:rPr>
        <w:rFonts w:hint="default"/>
      </w:rPr>
    </w:lvl>
    <w:lvl w:ilvl="1" w:tplc="10090019" w:tentative="1">
      <w:start w:val="1"/>
      <w:numFmt w:val="lowerLetter"/>
      <w:lvlText w:val="%2."/>
      <w:lvlJc w:val="left"/>
      <w:pPr>
        <w:ind w:left="2639" w:hanging="360"/>
      </w:pPr>
    </w:lvl>
    <w:lvl w:ilvl="2" w:tplc="1009001B" w:tentative="1">
      <w:start w:val="1"/>
      <w:numFmt w:val="lowerRoman"/>
      <w:lvlText w:val="%3."/>
      <w:lvlJc w:val="right"/>
      <w:pPr>
        <w:ind w:left="3359" w:hanging="180"/>
      </w:pPr>
    </w:lvl>
    <w:lvl w:ilvl="3" w:tplc="1009000F" w:tentative="1">
      <w:start w:val="1"/>
      <w:numFmt w:val="decimal"/>
      <w:lvlText w:val="%4."/>
      <w:lvlJc w:val="left"/>
      <w:pPr>
        <w:ind w:left="4079" w:hanging="360"/>
      </w:pPr>
    </w:lvl>
    <w:lvl w:ilvl="4" w:tplc="10090019" w:tentative="1">
      <w:start w:val="1"/>
      <w:numFmt w:val="lowerLetter"/>
      <w:lvlText w:val="%5."/>
      <w:lvlJc w:val="left"/>
      <w:pPr>
        <w:ind w:left="4799" w:hanging="360"/>
      </w:pPr>
    </w:lvl>
    <w:lvl w:ilvl="5" w:tplc="1009001B" w:tentative="1">
      <w:start w:val="1"/>
      <w:numFmt w:val="lowerRoman"/>
      <w:lvlText w:val="%6."/>
      <w:lvlJc w:val="right"/>
      <w:pPr>
        <w:ind w:left="5519" w:hanging="180"/>
      </w:pPr>
    </w:lvl>
    <w:lvl w:ilvl="6" w:tplc="1009000F" w:tentative="1">
      <w:start w:val="1"/>
      <w:numFmt w:val="decimal"/>
      <w:lvlText w:val="%7."/>
      <w:lvlJc w:val="left"/>
      <w:pPr>
        <w:ind w:left="6239" w:hanging="360"/>
      </w:pPr>
    </w:lvl>
    <w:lvl w:ilvl="7" w:tplc="10090019" w:tentative="1">
      <w:start w:val="1"/>
      <w:numFmt w:val="lowerLetter"/>
      <w:lvlText w:val="%8."/>
      <w:lvlJc w:val="left"/>
      <w:pPr>
        <w:ind w:left="6959" w:hanging="360"/>
      </w:pPr>
    </w:lvl>
    <w:lvl w:ilvl="8" w:tplc="1009001B" w:tentative="1">
      <w:start w:val="1"/>
      <w:numFmt w:val="lowerRoman"/>
      <w:lvlText w:val="%9."/>
      <w:lvlJc w:val="right"/>
      <w:pPr>
        <w:ind w:left="7679" w:hanging="180"/>
      </w:pPr>
    </w:lvl>
  </w:abstractNum>
  <w:abstractNum w:abstractNumId="20" w15:restartNumberingAfterBreak="0">
    <w:nsid w:val="5D2650A2"/>
    <w:multiLevelType w:val="hybridMultilevel"/>
    <w:tmpl w:val="CD2A70A6"/>
    <w:lvl w:ilvl="0" w:tplc="F2DC8132">
      <w:start w:val="1"/>
      <w:numFmt w:val="lowerRoman"/>
      <w:lvlText w:val="(%1)"/>
      <w:lvlJc w:val="left"/>
      <w:pPr>
        <w:ind w:left="1886" w:hanging="720"/>
      </w:pPr>
      <w:rPr>
        <w:rFonts w:hint="default"/>
      </w:rPr>
    </w:lvl>
    <w:lvl w:ilvl="1" w:tplc="10090019" w:tentative="1">
      <w:start w:val="1"/>
      <w:numFmt w:val="lowerLetter"/>
      <w:lvlText w:val="%2."/>
      <w:lvlJc w:val="left"/>
      <w:pPr>
        <w:ind w:left="2246" w:hanging="360"/>
      </w:pPr>
    </w:lvl>
    <w:lvl w:ilvl="2" w:tplc="1009001B" w:tentative="1">
      <w:start w:val="1"/>
      <w:numFmt w:val="lowerRoman"/>
      <w:lvlText w:val="%3."/>
      <w:lvlJc w:val="right"/>
      <w:pPr>
        <w:ind w:left="2966" w:hanging="180"/>
      </w:pPr>
    </w:lvl>
    <w:lvl w:ilvl="3" w:tplc="1009000F" w:tentative="1">
      <w:start w:val="1"/>
      <w:numFmt w:val="decimal"/>
      <w:lvlText w:val="%4."/>
      <w:lvlJc w:val="left"/>
      <w:pPr>
        <w:ind w:left="3686" w:hanging="360"/>
      </w:pPr>
    </w:lvl>
    <w:lvl w:ilvl="4" w:tplc="10090019" w:tentative="1">
      <w:start w:val="1"/>
      <w:numFmt w:val="lowerLetter"/>
      <w:lvlText w:val="%5."/>
      <w:lvlJc w:val="left"/>
      <w:pPr>
        <w:ind w:left="4406" w:hanging="360"/>
      </w:pPr>
    </w:lvl>
    <w:lvl w:ilvl="5" w:tplc="1009001B" w:tentative="1">
      <w:start w:val="1"/>
      <w:numFmt w:val="lowerRoman"/>
      <w:lvlText w:val="%6."/>
      <w:lvlJc w:val="right"/>
      <w:pPr>
        <w:ind w:left="5126" w:hanging="180"/>
      </w:pPr>
    </w:lvl>
    <w:lvl w:ilvl="6" w:tplc="1009000F" w:tentative="1">
      <w:start w:val="1"/>
      <w:numFmt w:val="decimal"/>
      <w:lvlText w:val="%7."/>
      <w:lvlJc w:val="left"/>
      <w:pPr>
        <w:ind w:left="5846" w:hanging="360"/>
      </w:pPr>
    </w:lvl>
    <w:lvl w:ilvl="7" w:tplc="10090019" w:tentative="1">
      <w:start w:val="1"/>
      <w:numFmt w:val="lowerLetter"/>
      <w:lvlText w:val="%8."/>
      <w:lvlJc w:val="left"/>
      <w:pPr>
        <w:ind w:left="6566" w:hanging="360"/>
      </w:pPr>
    </w:lvl>
    <w:lvl w:ilvl="8" w:tplc="1009001B" w:tentative="1">
      <w:start w:val="1"/>
      <w:numFmt w:val="lowerRoman"/>
      <w:lvlText w:val="%9."/>
      <w:lvlJc w:val="right"/>
      <w:pPr>
        <w:ind w:left="7286" w:hanging="180"/>
      </w:pPr>
    </w:lvl>
  </w:abstractNum>
  <w:abstractNum w:abstractNumId="21" w15:restartNumberingAfterBreak="0">
    <w:nsid w:val="5FCB40D8"/>
    <w:multiLevelType w:val="hybridMultilevel"/>
    <w:tmpl w:val="99EEA454"/>
    <w:lvl w:ilvl="0" w:tplc="10090019">
      <w:start w:val="1"/>
      <w:numFmt w:val="lowerLetter"/>
      <w:lvlText w:val="%1."/>
      <w:lvlJc w:val="left"/>
      <w:pPr>
        <w:ind w:left="1886" w:hanging="360"/>
      </w:pPr>
    </w:lvl>
    <w:lvl w:ilvl="1" w:tplc="10090019" w:tentative="1">
      <w:start w:val="1"/>
      <w:numFmt w:val="lowerLetter"/>
      <w:lvlText w:val="%2."/>
      <w:lvlJc w:val="left"/>
      <w:pPr>
        <w:ind w:left="2606" w:hanging="360"/>
      </w:pPr>
    </w:lvl>
    <w:lvl w:ilvl="2" w:tplc="1009001B" w:tentative="1">
      <w:start w:val="1"/>
      <w:numFmt w:val="lowerRoman"/>
      <w:lvlText w:val="%3."/>
      <w:lvlJc w:val="right"/>
      <w:pPr>
        <w:ind w:left="3326" w:hanging="180"/>
      </w:pPr>
    </w:lvl>
    <w:lvl w:ilvl="3" w:tplc="1009000F" w:tentative="1">
      <w:start w:val="1"/>
      <w:numFmt w:val="decimal"/>
      <w:lvlText w:val="%4."/>
      <w:lvlJc w:val="left"/>
      <w:pPr>
        <w:ind w:left="4046" w:hanging="360"/>
      </w:pPr>
    </w:lvl>
    <w:lvl w:ilvl="4" w:tplc="10090019" w:tentative="1">
      <w:start w:val="1"/>
      <w:numFmt w:val="lowerLetter"/>
      <w:lvlText w:val="%5."/>
      <w:lvlJc w:val="left"/>
      <w:pPr>
        <w:ind w:left="4766" w:hanging="360"/>
      </w:pPr>
    </w:lvl>
    <w:lvl w:ilvl="5" w:tplc="1009001B" w:tentative="1">
      <w:start w:val="1"/>
      <w:numFmt w:val="lowerRoman"/>
      <w:lvlText w:val="%6."/>
      <w:lvlJc w:val="right"/>
      <w:pPr>
        <w:ind w:left="5486" w:hanging="180"/>
      </w:pPr>
    </w:lvl>
    <w:lvl w:ilvl="6" w:tplc="1009000F" w:tentative="1">
      <w:start w:val="1"/>
      <w:numFmt w:val="decimal"/>
      <w:lvlText w:val="%7."/>
      <w:lvlJc w:val="left"/>
      <w:pPr>
        <w:ind w:left="6206" w:hanging="360"/>
      </w:pPr>
    </w:lvl>
    <w:lvl w:ilvl="7" w:tplc="10090019" w:tentative="1">
      <w:start w:val="1"/>
      <w:numFmt w:val="lowerLetter"/>
      <w:lvlText w:val="%8."/>
      <w:lvlJc w:val="left"/>
      <w:pPr>
        <w:ind w:left="6926" w:hanging="360"/>
      </w:pPr>
    </w:lvl>
    <w:lvl w:ilvl="8" w:tplc="1009001B" w:tentative="1">
      <w:start w:val="1"/>
      <w:numFmt w:val="lowerRoman"/>
      <w:lvlText w:val="%9."/>
      <w:lvlJc w:val="right"/>
      <w:pPr>
        <w:ind w:left="7646" w:hanging="180"/>
      </w:pPr>
    </w:lvl>
  </w:abstractNum>
  <w:abstractNum w:abstractNumId="22" w15:restartNumberingAfterBreak="0">
    <w:nsid w:val="60FD27B1"/>
    <w:multiLevelType w:val="hybridMultilevel"/>
    <w:tmpl w:val="99EEA454"/>
    <w:lvl w:ilvl="0" w:tplc="10090019">
      <w:start w:val="1"/>
      <w:numFmt w:val="lowerLetter"/>
      <w:lvlText w:val="%1."/>
      <w:lvlJc w:val="left"/>
      <w:pPr>
        <w:ind w:left="1886" w:hanging="360"/>
      </w:pPr>
    </w:lvl>
    <w:lvl w:ilvl="1" w:tplc="10090019" w:tentative="1">
      <w:start w:val="1"/>
      <w:numFmt w:val="lowerLetter"/>
      <w:lvlText w:val="%2."/>
      <w:lvlJc w:val="left"/>
      <w:pPr>
        <w:ind w:left="2606" w:hanging="360"/>
      </w:pPr>
    </w:lvl>
    <w:lvl w:ilvl="2" w:tplc="1009001B" w:tentative="1">
      <w:start w:val="1"/>
      <w:numFmt w:val="lowerRoman"/>
      <w:lvlText w:val="%3."/>
      <w:lvlJc w:val="right"/>
      <w:pPr>
        <w:ind w:left="3326" w:hanging="180"/>
      </w:pPr>
    </w:lvl>
    <w:lvl w:ilvl="3" w:tplc="1009000F" w:tentative="1">
      <w:start w:val="1"/>
      <w:numFmt w:val="decimal"/>
      <w:lvlText w:val="%4."/>
      <w:lvlJc w:val="left"/>
      <w:pPr>
        <w:ind w:left="4046" w:hanging="360"/>
      </w:pPr>
    </w:lvl>
    <w:lvl w:ilvl="4" w:tplc="10090019" w:tentative="1">
      <w:start w:val="1"/>
      <w:numFmt w:val="lowerLetter"/>
      <w:lvlText w:val="%5."/>
      <w:lvlJc w:val="left"/>
      <w:pPr>
        <w:ind w:left="4766" w:hanging="360"/>
      </w:pPr>
    </w:lvl>
    <w:lvl w:ilvl="5" w:tplc="1009001B" w:tentative="1">
      <w:start w:val="1"/>
      <w:numFmt w:val="lowerRoman"/>
      <w:lvlText w:val="%6."/>
      <w:lvlJc w:val="right"/>
      <w:pPr>
        <w:ind w:left="5486" w:hanging="180"/>
      </w:pPr>
    </w:lvl>
    <w:lvl w:ilvl="6" w:tplc="1009000F" w:tentative="1">
      <w:start w:val="1"/>
      <w:numFmt w:val="decimal"/>
      <w:lvlText w:val="%7."/>
      <w:lvlJc w:val="left"/>
      <w:pPr>
        <w:ind w:left="6206" w:hanging="360"/>
      </w:pPr>
    </w:lvl>
    <w:lvl w:ilvl="7" w:tplc="10090019" w:tentative="1">
      <w:start w:val="1"/>
      <w:numFmt w:val="lowerLetter"/>
      <w:lvlText w:val="%8."/>
      <w:lvlJc w:val="left"/>
      <w:pPr>
        <w:ind w:left="6926" w:hanging="360"/>
      </w:pPr>
    </w:lvl>
    <w:lvl w:ilvl="8" w:tplc="1009001B" w:tentative="1">
      <w:start w:val="1"/>
      <w:numFmt w:val="lowerRoman"/>
      <w:lvlText w:val="%9."/>
      <w:lvlJc w:val="right"/>
      <w:pPr>
        <w:ind w:left="7646" w:hanging="180"/>
      </w:pPr>
    </w:lvl>
  </w:abstractNum>
  <w:abstractNum w:abstractNumId="23" w15:restartNumberingAfterBreak="0">
    <w:nsid w:val="718B2F6B"/>
    <w:multiLevelType w:val="hybridMultilevel"/>
    <w:tmpl w:val="99EEA454"/>
    <w:lvl w:ilvl="0" w:tplc="10090019">
      <w:start w:val="1"/>
      <w:numFmt w:val="lowerLetter"/>
      <w:lvlText w:val="%1."/>
      <w:lvlJc w:val="left"/>
      <w:pPr>
        <w:ind w:left="1886" w:hanging="360"/>
      </w:pPr>
    </w:lvl>
    <w:lvl w:ilvl="1" w:tplc="10090019" w:tentative="1">
      <w:start w:val="1"/>
      <w:numFmt w:val="lowerLetter"/>
      <w:lvlText w:val="%2."/>
      <w:lvlJc w:val="left"/>
      <w:pPr>
        <w:ind w:left="2606" w:hanging="360"/>
      </w:pPr>
    </w:lvl>
    <w:lvl w:ilvl="2" w:tplc="1009001B" w:tentative="1">
      <w:start w:val="1"/>
      <w:numFmt w:val="lowerRoman"/>
      <w:lvlText w:val="%3."/>
      <w:lvlJc w:val="right"/>
      <w:pPr>
        <w:ind w:left="3326" w:hanging="180"/>
      </w:pPr>
    </w:lvl>
    <w:lvl w:ilvl="3" w:tplc="1009000F" w:tentative="1">
      <w:start w:val="1"/>
      <w:numFmt w:val="decimal"/>
      <w:lvlText w:val="%4."/>
      <w:lvlJc w:val="left"/>
      <w:pPr>
        <w:ind w:left="4046" w:hanging="360"/>
      </w:pPr>
    </w:lvl>
    <w:lvl w:ilvl="4" w:tplc="10090019" w:tentative="1">
      <w:start w:val="1"/>
      <w:numFmt w:val="lowerLetter"/>
      <w:lvlText w:val="%5."/>
      <w:lvlJc w:val="left"/>
      <w:pPr>
        <w:ind w:left="4766" w:hanging="360"/>
      </w:pPr>
    </w:lvl>
    <w:lvl w:ilvl="5" w:tplc="1009001B" w:tentative="1">
      <w:start w:val="1"/>
      <w:numFmt w:val="lowerRoman"/>
      <w:lvlText w:val="%6."/>
      <w:lvlJc w:val="right"/>
      <w:pPr>
        <w:ind w:left="5486" w:hanging="180"/>
      </w:pPr>
    </w:lvl>
    <w:lvl w:ilvl="6" w:tplc="1009000F" w:tentative="1">
      <w:start w:val="1"/>
      <w:numFmt w:val="decimal"/>
      <w:lvlText w:val="%7."/>
      <w:lvlJc w:val="left"/>
      <w:pPr>
        <w:ind w:left="6206" w:hanging="360"/>
      </w:pPr>
    </w:lvl>
    <w:lvl w:ilvl="7" w:tplc="10090019" w:tentative="1">
      <w:start w:val="1"/>
      <w:numFmt w:val="lowerLetter"/>
      <w:lvlText w:val="%8."/>
      <w:lvlJc w:val="left"/>
      <w:pPr>
        <w:ind w:left="6926" w:hanging="360"/>
      </w:pPr>
    </w:lvl>
    <w:lvl w:ilvl="8" w:tplc="1009001B" w:tentative="1">
      <w:start w:val="1"/>
      <w:numFmt w:val="lowerRoman"/>
      <w:lvlText w:val="%9."/>
      <w:lvlJc w:val="right"/>
      <w:pPr>
        <w:ind w:left="7646" w:hanging="180"/>
      </w:pPr>
    </w:lvl>
  </w:abstractNum>
  <w:num w:numId="1" w16cid:durableId="1917860036">
    <w:abstractNumId w:val="18"/>
  </w:num>
  <w:num w:numId="2" w16cid:durableId="616523163">
    <w:abstractNumId w:val="16"/>
    <w:lvlOverride w:ilvl="0">
      <w:lvl w:ilvl="0">
        <w:start w:val="1"/>
        <w:numFmt w:val="upperRoman"/>
        <w:pStyle w:val="Title1LevelTitre1Niveau-AltL"/>
        <w:lvlText w:val="%1."/>
        <w:lvlJc w:val="left"/>
        <w:pPr>
          <w:tabs>
            <w:tab w:val="num" w:pos="576"/>
          </w:tabs>
          <w:ind w:left="576" w:hanging="576"/>
        </w:pPr>
        <w:rPr>
          <w:rFonts w:hint="default"/>
          <w:sz w:val="24"/>
        </w:rPr>
      </w:lvl>
    </w:lvlOverride>
    <w:lvlOverride w:ilvl="1">
      <w:lvl w:ilvl="1">
        <w:start w:val="1"/>
        <w:numFmt w:val="upperLetter"/>
        <w:pStyle w:val="Title2LevelTitre2Niveau"/>
        <w:lvlText w:val="%2."/>
        <w:lvlJc w:val="left"/>
        <w:pPr>
          <w:tabs>
            <w:tab w:val="num" w:pos="576"/>
          </w:tabs>
          <w:ind w:left="576" w:hanging="576"/>
        </w:pPr>
        <w:rPr>
          <w:rFonts w:ascii="Times New Roman" w:hAnsi="Times New Roman" w:hint="default"/>
          <w:b w:val="0"/>
          <w:i w:val="0"/>
          <w:sz w:val="24"/>
        </w:rPr>
      </w:lvl>
    </w:lvlOverride>
    <w:lvlOverride w:ilvl="2">
      <w:lvl w:ilvl="2">
        <w:start w:val="1"/>
        <w:numFmt w:val="decimal"/>
        <w:pStyle w:val="Title3LevelTitre3Niveau"/>
        <w:lvlText w:val="(%3)"/>
        <w:lvlJc w:val="left"/>
        <w:pPr>
          <w:tabs>
            <w:tab w:val="num" w:pos="1152"/>
          </w:tabs>
          <w:ind w:left="1152" w:hanging="576"/>
        </w:pPr>
        <w:rPr>
          <w:rFonts w:ascii="Times New Roman" w:hAnsi="Times New Roman" w:hint="default"/>
          <w:b w:val="0"/>
          <w:i w:val="0"/>
          <w:strike w:val="0"/>
          <w:sz w:val="24"/>
        </w:rPr>
      </w:lvl>
    </w:lvlOverride>
    <w:lvlOverride w:ilvl="3">
      <w:lvl w:ilvl="3">
        <w:start w:val="1"/>
        <w:numFmt w:val="lowerLetter"/>
        <w:pStyle w:val="Title4LevelTitre4Niveau"/>
        <w:lvlText w:val="(%4)"/>
        <w:lvlJc w:val="left"/>
        <w:pPr>
          <w:tabs>
            <w:tab w:val="num" w:pos="1152"/>
          </w:tabs>
          <w:ind w:left="1152" w:hanging="576"/>
        </w:pPr>
        <w:rPr>
          <w:rFonts w:hint="default"/>
          <w:b w:val="0"/>
          <w:i w:val="0"/>
          <w:strike w:val="0"/>
        </w:rPr>
      </w:lvl>
    </w:lvlOverride>
    <w:lvlOverride w:ilvl="4">
      <w:lvl w:ilvl="4">
        <w:start w:val="1"/>
        <w:numFmt w:val="lowerRoman"/>
        <w:pStyle w:val="Title5LevelTitre5Niveau"/>
        <w:lvlText w:val="(%5)"/>
        <w:lvlJc w:val="left"/>
        <w:pPr>
          <w:tabs>
            <w:tab w:val="num" w:pos="1728"/>
          </w:tabs>
          <w:ind w:left="1728" w:hanging="576"/>
        </w:pPr>
        <w:rPr>
          <w:rFonts w:hint="default"/>
        </w:rPr>
      </w:lvl>
    </w:lvlOverride>
    <w:lvlOverride w:ilvl="5">
      <w:lvl w:ilvl="5">
        <w:start w:val="1"/>
        <w:numFmt w:val="decimal"/>
        <w:pStyle w:val="Title6LevelTitre6Niveau"/>
        <w:lvlText w:val="%6."/>
        <w:lvlJc w:val="left"/>
        <w:pPr>
          <w:tabs>
            <w:tab w:val="num" w:pos="4262"/>
          </w:tabs>
          <w:ind w:left="4262" w:hanging="576"/>
        </w:pPr>
        <w:rPr>
          <w:rFonts w:hint="default"/>
          <w:b w:val="0"/>
          <w:i w:val="0"/>
        </w:rPr>
      </w:lvl>
    </w:lvlOverride>
    <w:lvlOverride w:ilvl="6">
      <w:lvl w:ilvl="6">
        <w:start w:val="1"/>
        <w:numFmt w:val="decimal"/>
        <w:lvlText w:val="%7."/>
        <w:lvlJc w:val="left"/>
        <w:pPr>
          <w:ind w:left="8208" w:hanging="432"/>
        </w:pPr>
        <w:rPr>
          <w:rFonts w:hint="default"/>
        </w:rPr>
      </w:lvl>
    </w:lvlOverride>
    <w:lvlOverride w:ilvl="7">
      <w:lvl w:ilvl="7">
        <w:start w:val="1"/>
        <w:numFmt w:val="lowerLetter"/>
        <w:lvlText w:val="%8."/>
        <w:lvlJc w:val="left"/>
        <w:pPr>
          <w:ind w:left="8640" w:hanging="432"/>
        </w:pPr>
        <w:rPr>
          <w:rFonts w:hint="default"/>
        </w:rPr>
      </w:lvl>
    </w:lvlOverride>
    <w:lvlOverride w:ilvl="8">
      <w:lvl w:ilvl="8">
        <w:start w:val="1"/>
        <w:numFmt w:val="lowerRoman"/>
        <w:lvlText w:val="%9."/>
        <w:lvlJc w:val="left"/>
        <w:pPr>
          <w:ind w:left="9072" w:hanging="432"/>
        </w:pPr>
        <w:rPr>
          <w:rFonts w:hint="default"/>
        </w:rPr>
      </w:lvl>
    </w:lvlOverride>
  </w:num>
  <w:num w:numId="3" w16cid:durableId="1616718550">
    <w:abstractNumId w:val="12"/>
  </w:num>
  <w:num w:numId="4" w16cid:durableId="1752849125">
    <w:abstractNumId w:val="20"/>
  </w:num>
  <w:num w:numId="5" w16cid:durableId="1800100028">
    <w:abstractNumId w:val="18"/>
    <w:lvlOverride w:ilvl="0">
      <w:startOverride w:val="1"/>
    </w:lvlOverride>
    <w:lvlOverride w:ilvl="1">
      <w:startOverride w:val="2"/>
    </w:lvlOverride>
  </w:num>
  <w:num w:numId="6" w16cid:durableId="1527906695">
    <w:abstractNumId w:val="18"/>
    <w:lvlOverride w:ilvl="0">
      <w:startOverride w:val="1"/>
    </w:lvlOverride>
    <w:lvlOverride w:ilvl="1">
      <w:startOverride w:val="3"/>
    </w:lvlOverride>
  </w:num>
  <w:num w:numId="7" w16cid:durableId="1533610357">
    <w:abstractNumId w:val="18"/>
    <w:lvlOverride w:ilvl="0">
      <w:startOverride w:val="1"/>
    </w:lvlOverride>
    <w:lvlOverride w:ilvl="1">
      <w:startOverride w:val="1"/>
    </w:lvlOverride>
    <w:lvlOverride w:ilvl="2">
      <w:startOverride w:val="2"/>
    </w:lvlOverride>
  </w:num>
  <w:num w:numId="8" w16cid:durableId="1463117503">
    <w:abstractNumId w:val="11"/>
  </w:num>
  <w:num w:numId="9" w16cid:durableId="2042910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8193260">
    <w:abstractNumId w:val="16"/>
    <w:lvlOverride w:ilvl="0">
      <w:startOverride w:val="100"/>
      <w:lvl w:ilvl="0">
        <w:start w:val="100"/>
        <w:numFmt w:val="upperRoman"/>
        <w:pStyle w:val="Title1LevelTitre1Niveau-AltL"/>
        <w:lvlText w:val="%1."/>
        <w:lvlJc w:val="left"/>
        <w:pPr>
          <w:tabs>
            <w:tab w:val="num" w:pos="576"/>
          </w:tabs>
          <w:ind w:left="576" w:hanging="576"/>
        </w:pPr>
        <w:rPr>
          <w:rFonts w:hint="default"/>
          <w:sz w:val="24"/>
        </w:rPr>
      </w:lvl>
    </w:lvlOverride>
  </w:num>
  <w:num w:numId="11" w16cid:durableId="1874882655">
    <w:abstractNumId w:val="16"/>
    <w:lvlOverride w:ilvl="0">
      <w:startOverride w:val="2"/>
      <w:lvl w:ilvl="0">
        <w:start w:val="2"/>
        <w:numFmt w:val="upperRoman"/>
        <w:pStyle w:val="Title1LevelTitre1Niveau-AltL"/>
        <w:lvlText w:val="%1."/>
        <w:lvlJc w:val="left"/>
        <w:pPr>
          <w:tabs>
            <w:tab w:val="num" w:pos="576"/>
          </w:tabs>
          <w:ind w:left="576" w:hanging="576"/>
        </w:pPr>
        <w:rPr>
          <w:rFonts w:hint="default"/>
          <w:sz w:val="24"/>
        </w:rPr>
      </w:lvl>
    </w:lvlOverride>
    <w:lvlOverride w:ilvl="1">
      <w:startOverride w:val="1"/>
      <w:lvl w:ilvl="1">
        <w:start w:val="1"/>
        <w:numFmt w:val="upperLetter"/>
        <w:pStyle w:val="Title2LevelTitre2Niveau"/>
        <w:lvlText w:val="%2."/>
        <w:lvlJc w:val="left"/>
        <w:pPr>
          <w:tabs>
            <w:tab w:val="num" w:pos="576"/>
          </w:tabs>
          <w:ind w:left="576" w:hanging="576"/>
        </w:pPr>
        <w:rPr>
          <w:rFonts w:ascii="Times New Roman" w:hAnsi="Times New Roman" w:hint="default"/>
          <w:b w:val="0"/>
          <w:i w:val="0"/>
          <w:sz w:val="24"/>
        </w:rPr>
      </w:lvl>
    </w:lvlOverride>
    <w:lvlOverride w:ilvl="2">
      <w:startOverride w:val="1"/>
      <w:lvl w:ilvl="2">
        <w:start w:val="1"/>
        <w:numFmt w:val="decimal"/>
        <w:pStyle w:val="Title3LevelTitre3Niveau"/>
        <w:lvlText w:val="(%3)"/>
        <w:lvlJc w:val="left"/>
        <w:pPr>
          <w:tabs>
            <w:tab w:val="num" w:pos="1152"/>
          </w:tabs>
          <w:ind w:left="1152" w:hanging="576"/>
        </w:pPr>
        <w:rPr>
          <w:rFonts w:ascii="Times New Roman" w:hAnsi="Times New Roman" w:hint="default"/>
          <w:b w:val="0"/>
          <w:i w:val="0"/>
          <w:sz w:val="24"/>
        </w:rPr>
      </w:lvl>
    </w:lvlOverride>
    <w:lvlOverride w:ilvl="3">
      <w:startOverride w:val="1"/>
      <w:lvl w:ilvl="3">
        <w:start w:val="1"/>
        <w:numFmt w:val="lowerLetter"/>
        <w:pStyle w:val="Title4LevelTitre4Niveau"/>
        <w:lvlText w:val="(%4)"/>
        <w:lvlJc w:val="left"/>
        <w:pPr>
          <w:tabs>
            <w:tab w:val="num" w:pos="1152"/>
          </w:tabs>
          <w:ind w:left="1152" w:hanging="576"/>
        </w:pPr>
        <w:rPr>
          <w:rFonts w:hint="default"/>
          <w:b w:val="0"/>
          <w:i w:val="0"/>
          <w:strike w:val="0"/>
        </w:rPr>
      </w:lvl>
    </w:lvlOverride>
    <w:lvlOverride w:ilvl="4">
      <w:startOverride w:val="1"/>
      <w:lvl w:ilvl="4">
        <w:start w:val="1"/>
        <w:numFmt w:val="lowerRoman"/>
        <w:pStyle w:val="Title5LevelTitre5Niveau"/>
        <w:lvlText w:val="(%5)"/>
        <w:lvlJc w:val="left"/>
        <w:pPr>
          <w:tabs>
            <w:tab w:val="num" w:pos="1728"/>
          </w:tabs>
          <w:ind w:left="1728" w:hanging="576"/>
        </w:pPr>
        <w:rPr>
          <w:rFonts w:hint="default"/>
        </w:rPr>
      </w:lvl>
    </w:lvlOverride>
    <w:lvlOverride w:ilvl="5">
      <w:startOverride w:val="1"/>
      <w:lvl w:ilvl="5">
        <w:start w:val="1"/>
        <w:numFmt w:val="decimal"/>
        <w:pStyle w:val="Title6LevelTitre6Niveau"/>
        <w:lvlText w:val="%6."/>
        <w:lvlJc w:val="left"/>
        <w:pPr>
          <w:tabs>
            <w:tab w:val="num" w:pos="4262"/>
          </w:tabs>
          <w:ind w:left="4262" w:hanging="576"/>
        </w:pPr>
        <w:rPr>
          <w:rFonts w:hint="default"/>
          <w:b w:val="0"/>
          <w:i w:val="0"/>
        </w:rPr>
      </w:lvl>
    </w:lvlOverride>
    <w:lvlOverride w:ilvl="6">
      <w:startOverride w:val="1"/>
      <w:lvl w:ilvl="6">
        <w:start w:val="1"/>
        <w:numFmt w:val="decimal"/>
        <w:lvlText w:val="%7."/>
        <w:lvlJc w:val="left"/>
        <w:pPr>
          <w:ind w:left="8208" w:hanging="432"/>
        </w:pPr>
        <w:rPr>
          <w:rFonts w:hint="default"/>
        </w:rPr>
      </w:lvl>
    </w:lvlOverride>
    <w:lvlOverride w:ilvl="7">
      <w:startOverride w:val="1"/>
      <w:lvl w:ilvl="7">
        <w:start w:val="1"/>
        <w:numFmt w:val="lowerLetter"/>
        <w:lvlText w:val="%8."/>
        <w:lvlJc w:val="left"/>
        <w:pPr>
          <w:ind w:left="8640" w:hanging="432"/>
        </w:pPr>
        <w:rPr>
          <w:rFonts w:hint="default"/>
        </w:rPr>
      </w:lvl>
    </w:lvlOverride>
    <w:lvlOverride w:ilvl="8">
      <w:startOverride w:val="1"/>
      <w:lvl w:ilvl="8">
        <w:start w:val="1"/>
        <w:numFmt w:val="lowerRoman"/>
        <w:lvlText w:val="%9."/>
        <w:lvlJc w:val="left"/>
        <w:pPr>
          <w:ind w:left="9072" w:hanging="432"/>
        </w:pPr>
        <w:rPr>
          <w:rFonts w:hint="default"/>
        </w:rPr>
      </w:lvl>
    </w:lvlOverride>
  </w:num>
  <w:num w:numId="12" w16cid:durableId="416369244">
    <w:abstractNumId w:val="15"/>
  </w:num>
  <w:num w:numId="13" w16cid:durableId="1514682592">
    <w:abstractNumId w:val="19"/>
  </w:num>
  <w:num w:numId="14" w16cid:durableId="951209747">
    <w:abstractNumId w:val="23"/>
  </w:num>
  <w:num w:numId="15" w16cid:durableId="403994445">
    <w:abstractNumId w:val="22"/>
  </w:num>
  <w:num w:numId="16" w16cid:durableId="2095318472">
    <w:abstractNumId w:val="21"/>
  </w:num>
  <w:num w:numId="17" w16cid:durableId="1937864246">
    <w:abstractNumId w:val="10"/>
  </w:num>
  <w:num w:numId="18" w16cid:durableId="1259215012">
    <w:abstractNumId w:val="13"/>
  </w:num>
  <w:num w:numId="19" w16cid:durableId="1561866079">
    <w:abstractNumId w:val="14"/>
  </w:num>
  <w:num w:numId="20" w16cid:durableId="1333677679">
    <w:abstractNumId w:val="17"/>
  </w:num>
  <w:num w:numId="21" w16cid:durableId="734741012">
    <w:abstractNumId w:val="16"/>
    <w:lvlOverride w:ilvl="0">
      <w:lvl w:ilvl="0">
        <w:start w:val="1"/>
        <w:numFmt w:val="upperRoman"/>
        <w:pStyle w:val="Title1LevelTitre1Niveau-AltL"/>
        <w:lvlText w:val="%1."/>
        <w:lvlJc w:val="left"/>
        <w:pPr>
          <w:tabs>
            <w:tab w:val="num" w:pos="576"/>
          </w:tabs>
          <w:ind w:left="576" w:hanging="576"/>
        </w:pPr>
        <w:rPr>
          <w:rFonts w:hint="default"/>
          <w:sz w:val="24"/>
        </w:rPr>
      </w:lvl>
    </w:lvlOverride>
    <w:lvlOverride w:ilvl="1">
      <w:lvl w:ilvl="1">
        <w:start w:val="1"/>
        <w:numFmt w:val="upperLetter"/>
        <w:pStyle w:val="Title2LevelTitre2Niveau"/>
        <w:lvlText w:val="%2."/>
        <w:lvlJc w:val="left"/>
        <w:pPr>
          <w:tabs>
            <w:tab w:val="num" w:pos="576"/>
          </w:tabs>
          <w:ind w:left="576" w:hanging="576"/>
        </w:pPr>
        <w:rPr>
          <w:rFonts w:ascii="Times New Roman" w:hAnsi="Times New Roman" w:hint="default"/>
          <w:b w:val="0"/>
          <w:i w:val="0"/>
          <w:sz w:val="24"/>
        </w:rPr>
      </w:lvl>
    </w:lvlOverride>
    <w:lvlOverride w:ilvl="2">
      <w:lvl w:ilvl="2">
        <w:start w:val="1"/>
        <w:numFmt w:val="decimal"/>
        <w:pStyle w:val="Title3LevelTitre3Niveau"/>
        <w:lvlText w:val="(%3)"/>
        <w:lvlJc w:val="left"/>
        <w:pPr>
          <w:tabs>
            <w:tab w:val="num" w:pos="1152"/>
          </w:tabs>
          <w:ind w:left="1152" w:hanging="576"/>
        </w:pPr>
        <w:rPr>
          <w:rFonts w:ascii="Times New Roman" w:hAnsi="Times New Roman" w:hint="default"/>
          <w:b w:val="0"/>
          <w:i w:val="0"/>
          <w:sz w:val="24"/>
        </w:rPr>
      </w:lvl>
    </w:lvlOverride>
    <w:lvlOverride w:ilvl="3">
      <w:lvl w:ilvl="3">
        <w:start w:val="1"/>
        <w:numFmt w:val="lowerLetter"/>
        <w:pStyle w:val="Title4LevelTitre4Niveau"/>
        <w:lvlText w:val="(%4)"/>
        <w:lvlJc w:val="left"/>
        <w:pPr>
          <w:tabs>
            <w:tab w:val="num" w:pos="1152"/>
          </w:tabs>
          <w:ind w:left="1152" w:hanging="576"/>
        </w:pPr>
        <w:rPr>
          <w:rFonts w:hint="default"/>
          <w:b w:val="0"/>
          <w:i w:val="0"/>
        </w:rPr>
      </w:lvl>
    </w:lvlOverride>
    <w:lvlOverride w:ilvl="4">
      <w:lvl w:ilvl="4">
        <w:start w:val="1"/>
        <w:numFmt w:val="lowerRoman"/>
        <w:pStyle w:val="Title5LevelTitre5Niveau"/>
        <w:lvlText w:val="(%5)"/>
        <w:lvlJc w:val="left"/>
        <w:pPr>
          <w:tabs>
            <w:tab w:val="num" w:pos="1728"/>
          </w:tabs>
          <w:ind w:left="1728" w:hanging="576"/>
        </w:pPr>
        <w:rPr>
          <w:rFonts w:hint="default"/>
        </w:rPr>
      </w:lvl>
    </w:lvlOverride>
    <w:lvlOverride w:ilvl="5">
      <w:lvl w:ilvl="5">
        <w:start w:val="1"/>
        <w:numFmt w:val="decimal"/>
        <w:pStyle w:val="Title6LevelTitre6Niveau"/>
        <w:lvlText w:val="%6."/>
        <w:lvlJc w:val="left"/>
        <w:pPr>
          <w:tabs>
            <w:tab w:val="num" w:pos="1728"/>
          </w:tabs>
          <w:ind w:left="1728" w:hanging="576"/>
        </w:pPr>
        <w:rPr>
          <w:rFonts w:hint="default"/>
          <w:b w:val="0"/>
          <w:i w:val="0"/>
        </w:rPr>
      </w:lvl>
    </w:lvlOverride>
    <w:lvlOverride w:ilvl="6">
      <w:lvl w:ilvl="6">
        <w:start w:val="1"/>
        <w:numFmt w:val="decimal"/>
        <w:lvlText w:val="%7."/>
        <w:lvlJc w:val="left"/>
        <w:pPr>
          <w:ind w:left="8208" w:hanging="432"/>
        </w:pPr>
        <w:rPr>
          <w:rFonts w:hint="default"/>
        </w:rPr>
      </w:lvl>
    </w:lvlOverride>
    <w:lvlOverride w:ilvl="7">
      <w:lvl w:ilvl="7">
        <w:start w:val="1"/>
        <w:numFmt w:val="lowerLetter"/>
        <w:lvlText w:val="%8."/>
        <w:lvlJc w:val="left"/>
        <w:pPr>
          <w:ind w:left="8640" w:hanging="432"/>
        </w:pPr>
        <w:rPr>
          <w:rFonts w:hint="default"/>
        </w:rPr>
      </w:lvl>
    </w:lvlOverride>
    <w:lvlOverride w:ilvl="8">
      <w:lvl w:ilvl="8">
        <w:start w:val="1"/>
        <w:numFmt w:val="lowerRoman"/>
        <w:lvlText w:val="%9."/>
        <w:lvlJc w:val="left"/>
        <w:pPr>
          <w:ind w:left="9072" w:hanging="432"/>
        </w:pPr>
        <w:rPr>
          <w:rFonts w:hint="default"/>
        </w:rPr>
      </w:lvl>
    </w:lvlOverride>
  </w:num>
  <w:num w:numId="22" w16cid:durableId="633020478">
    <w:abstractNumId w:val="9"/>
  </w:num>
  <w:num w:numId="23" w16cid:durableId="204635236">
    <w:abstractNumId w:val="7"/>
  </w:num>
  <w:num w:numId="24" w16cid:durableId="1274170554">
    <w:abstractNumId w:val="6"/>
  </w:num>
  <w:num w:numId="25" w16cid:durableId="1855607764">
    <w:abstractNumId w:val="5"/>
  </w:num>
  <w:num w:numId="26" w16cid:durableId="2123497856">
    <w:abstractNumId w:val="4"/>
  </w:num>
  <w:num w:numId="27" w16cid:durableId="2101026393">
    <w:abstractNumId w:val="8"/>
  </w:num>
  <w:num w:numId="28" w16cid:durableId="1147405540">
    <w:abstractNumId w:val="3"/>
  </w:num>
  <w:num w:numId="29" w16cid:durableId="599027898">
    <w:abstractNumId w:val="2"/>
  </w:num>
  <w:num w:numId="30" w16cid:durableId="1842622985">
    <w:abstractNumId w:val="1"/>
  </w:num>
  <w:num w:numId="31" w16cid:durableId="1416825819">
    <w:abstractNumId w:val="0"/>
  </w:num>
  <w:num w:numId="32" w16cid:durableId="27610511">
    <w:abstractNumId w:val="16"/>
    <w:lvlOverride w:ilvl="0">
      <w:startOverride w:val="1"/>
      <w:lvl w:ilvl="0">
        <w:start w:val="1"/>
        <w:numFmt w:val="upperRoman"/>
        <w:pStyle w:val="Title1LevelTitre1Niveau-AltL"/>
        <w:lvlText w:val="%1."/>
        <w:lvlJc w:val="left"/>
        <w:pPr>
          <w:tabs>
            <w:tab w:val="num" w:pos="576"/>
          </w:tabs>
          <w:ind w:left="576" w:hanging="576"/>
        </w:pPr>
        <w:rPr>
          <w:rFonts w:hint="default"/>
          <w:sz w:val="24"/>
        </w:rPr>
      </w:lvl>
    </w:lvlOverride>
    <w:lvlOverride w:ilvl="1">
      <w:startOverride w:val="1"/>
      <w:lvl w:ilvl="1">
        <w:start w:val="1"/>
        <w:numFmt w:val="upperLetter"/>
        <w:pStyle w:val="Title2LevelTitre2Niveau"/>
        <w:lvlText w:val="%2."/>
        <w:lvlJc w:val="left"/>
        <w:pPr>
          <w:tabs>
            <w:tab w:val="num" w:pos="576"/>
          </w:tabs>
          <w:ind w:left="576" w:hanging="576"/>
        </w:pPr>
        <w:rPr>
          <w:rFonts w:ascii="Times New Roman" w:hAnsi="Times New Roman" w:hint="default"/>
          <w:b w:val="0"/>
          <w:i w:val="0"/>
          <w:sz w:val="24"/>
        </w:rPr>
      </w:lvl>
    </w:lvlOverride>
    <w:lvlOverride w:ilvl="2">
      <w:startOverride w:val="1"/>
      <w:lvl w:ilvl="2">
        <w:start w:val="1"/>
        <w:numFmt w:val="decimal"/>
        <w:pStyle w:val="Title3LevelTitre3Niveau"/>
        <w:lvlText w:val="(%3)"/>
        <w:lvlJc w:val="left"/>
        <w:pPr>
          <w:tabs>
            <w:tab w:val="num" w:pos="1152"/>
          </w:tabs>
          <w:ind w:left="1152" w:hanging="576"/>
        </w:pPr>
        <w:rPr>
          <w:rFonts w:ascii="Times New Roman" w:hAnsi="Times New Roman" w:hint="default"/>
          <w:b w:val="0"/>
          <w:i w:val="0"/>
          <w:sz w:val="24"/>
        </w:rPr>
      </w:lvl>
    </w:lvlOverride>
    <w:lvlOverride w:ilvl="3">
      <w:startOverride w:val="1"/>
      <w:lvl w:ilvl="3">
        <w:start w:val="1"/>
        <w:numFmt w:val="lowerLetter"/>
        <w:pStyle w:val="Title4LevelTitre4Niveau"/>
        <w:lvlText w:val="(%4)"/>
        <w:lvlJc w:val="left"/>
        <w:pPr>
          <w:tabs>
            <w:tab w:val="num" w:pos="1152"/>
          </w:tabs>
          <w:ind w:left="1152" w:hanging="576"/>
        </w:pPr>
        <w:rPr>
          <w:rFonts w:hint="default"/>
          <w:b w:val="0"/>
          <w:i w:val="0"/>
        </w:rPr>
      </w:lvl>
    </w:lvlOverride>
    <w:lvlOverride w:ilvl="4">
      <w:startOverride w:val="1"/>
      <w:lvl w:ilvl="4">
        <w:start w:val="1"/>
        <w:numFmt w:val="lowerRoman"/>
        <w:pStyle w:val="Title5LevelTitre5Niveau"/>
        <w:lvlText w:val="(%5)"/>
        <w:lvlJc w:val="left"/>
        <w:pPr>
          <w:tabs>
            <w:tab w:val="num" w:pos="1728"/>
          </w:tabs>
          <w:ind w:left="1728" w:hanging="576"/>
        </w:pPr>
        <w:rPr>
          <w:rFonts w:hint="default"/>
        </w:rPr>
      </w:lvl>
    </w:lvlOverride>
    <w:lvlOverride w:ilvl="5">
      <w:startOverride w:val="1"/>
      <w:lvl w:ilvl="5">
        <w:start w:val="1"/>
        <w:numFmt w:val="decimal"/>
        <w:pStyle w:val="Title6LevelTitre6Niveau"/>
        <w:lvlText w:val="%6."/>
        <w:lvlJc w:val="left"/>
        <w:pPr>
          <w:tabs>
            <w:tab w:val="num" w:pos="1728"/>
          </w:tabs>
          <w:ind w:left="1728" w:hanging="576"/>
        </w:pPr>
        <w:rPr>
          <w:rFonts w:hint="default"/>
          <w:b w:val="0"/>
          <w:i w:val="0"/>
        </w:rPr>
      </w:lvl>
    </w:lvlOverride>
    <w:lvlOverride w:ilvl="6">
      <w:startOverride w:val="1"/>
      <w:lvl w:ilvl="6">
        <w:start w:val="1"/>
        <w:numFmt w:val="decimal"/>
        <w:lvlText w:val="%7."/>
        <w:lvlJc w:val="left"/>
        <w:pPr>
          <w:ind w:left="8208" w:hanging="432"/>
        </w:pPr>
        <w:rPr>
          <w:rFonts w:hint="default"/>
        </w:rPr>
      </w:lvl>
    </w:lvlOverride>
    <w:lvlOverride w:ilvl="7">
      <w:startOverride w:val="1"/>
      <w:lvl w:ilvl="7">
        <w:start w:val="1"/>
        <w:numFmt w:val="lowerLetter"/>
        <w:lvlText w:val="%8."/>
        <w:lvlJc w:val="left"/>
        <w:pPr>
          <w:ind w:left="8640" w:hanging="432"/>
        </w:pPr>
        <w:rPr>
          <w:rFonts w:hint="default"/>
        </w:rPr>
      </w:lvl>
    </w:lvlOverride>
    <w:lvlOverride w:ilvl="8">
      <w:startOverride w:val="1"/>
      <w:lvl w:ilvl="8">
        <w:start w:val="1"/>
        <w:numFmt w:val="lowerRoman"/>
        <w:lvlText w:val="%9."/>
        <w:lvlJc w:val="left"/>
        <w:pPr>
          <w:ind w:left="9072" w:hanging="432"/>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20"/>
  <w:hyphenationZone w:val="425"/>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2C6"/>
    <w:rsid w:val="000B4C09"/>
    <w:rsid w:val="001162C6"/>
    <w:rsid w:val="00167D15"/>
    <w:rsid w:val="00171330"/>
    <w:rsid w:val="00204967"/>
    <w:rsid w:val="00260D35"/>
    <w:rsid w:val="0026514E"/>
    <w:rsid w:val="00404891"/>
    <w:rsid w:val="0041513A"/>
    <w:rsid w:val="0051337F"/>
    <w:rsid w:val="006748A0"/>
    <w:rsid w:val="00710CCE"/>
    <w:rsid w:val="00764BA1"/>
    <w:rsid w:val="007B47A0"/>
    <w:rsid w:val="008345AF"/>
    <w:rsid w:val="009017FA"/>
    <w:rsid w:val="009E6D25"/>
    <w:rsid w:val="00A236CA"/>
    <w:rsid w:val="00A24807"/>
    <w:rsid w:val="00B24801"/>
    <w:rsid w:val="00B751E6"/>
    <w:rsid w:val="00C12A66"/>
    <w:rsid w:val="00C52D38"/>
    <w:rsid w:val="00D736BA"/>
    <w:rsid w:val="00F912BA"/>
    <w:rsid w:val="00F9568F"/>
    <w:rsid w:val="00FB3B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C2ABDB"/>
  <w15:docId w15:val="{C78E6E53-3938-4349-BB24-47A6BF920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7A0"/>
    <w:rPr>
      <w:sz w:val="24"/>
    </w:rPr>
  </w:style>
  <w:style w:type="paragraph" w:styleId="Titre1">
    <w:name w:val="heading 1"/>
    <w:basedOn w:val="Normal"/>
    <w:next w:val="Normal"/>
    <w:link w:val="Titre1Car"/>
    <w:uiPriority w:val="9"/>
    <w:qFormat/>
    <w:pPr>
      <w:keepNext/>
      <w:keepLines/>
      <w:spacing w:after="720"/>
      <w:ind w:left="720" w:hanging="72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semiHidden/>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semiHidden/>
    <w:unhideWhenUsed/>
    <w:qFormat/>
    <w:rsid w:val="00B751E6"/>
    <w:pPr>
      <w:keepNext/>
      <w:keepLines/>
      <w:spacing w:before="200"/>
      <w:outlineLvl w:val="2"/>
    </w:pPr>
    <w:rPr>
      <w:rFonts w:asciiTheme="majorHAnsi" w:eastAsiaTheme="majorEastAsia" w:hAnsiTheme="majorHAnsi" w:cstheme="majorBidi"/>
      <w:b/>
      <w:bCs/>
      <w:color w:val="4F81BD" w:themeColor="accent1"/>
      <w:szCs w:val="22"/>
      <w:lang w:val="fr-CA" w:eastAsia="en-US" w:bidi="en-US"/>
    </w:rPr>
  </w:style>
  <w:style w:type="paragraph" w:styleId="Titre4">
    <w:name w:val="heading 4"/>
    <w:basedOn w:val="Normal"/>
    <w:next w:val="Normal"/>
    <w:link w:val="Titre4Car"/>
    <w:uiPriority w:val="9"/>
    <w:semiHidden/>
    <w:unhideWhenUsed/>
    <w:qFormat/>
    <w:rsid w:val="00B751E6"/>
    <w:pPr>
      <w:keepNext/>
      <w:keepLines/>
      <w:spacing w:before="200"/>
      <w:outlineLvl w:val="3"/>
    </w:pPr>
    <w:rPr>
      <w:rFonts w:asciiTheme="majorHAnsi" w:eastAsiaTheme="majorEastAsia" w:hAnsiTheme="majorHAnsi" w:cstheme="majorBidi"/>
      <w:b/>
      <w:bCs/>
      <w:i/>
      <w:iCs/>
      <w:color w:val="4F81BD" w:themeColor="accent1"/>
      <w:szCs w:val="22"/>
      <w:lang w:val="fr-CA" w:eastAsia="en-US" w:bidi="en-US"/>
    </w:rPr>
  </w:style>
  <w:style w:type="paragraph" w:styleId="Titre5">
    <w:name w:val="heading 5"/>
    <w:basedOn w:val="Normal"/>
    <w:next w:val="Normal"/>
    <w:link w:val="Titre5Car"/>
    <w:uiPriority w:val="9"/>
    <w:semiHidden/>
    <w:unhideWhenUsed/>
    <w:qFormat/>
    <w:rsid w:val="00B751E6"/>
    <w:pPr>
      <w:keepNext/>
      <w:keepLines/>
      <w:spacing w:before="200"/>
      <w:outlineLvl w:val="4"/>
    </w:pPr>
    <w:rPr>
      <w:rFonts w:asciiTheme="majorHAnsi" w:eastAsiaTheme="majorEastAsia" w:hAnsiTheme="majorHAnsi" w:cstheme="majorBidi"/>
      <w:color w:val="243F60" w:themeColor="accent1" w:themeShade="7F"/>
      <w:szCs w:val="22"/>
      <w:lang w:val="fr-CA" w:eastAsia="en-US" w:bidi="en-US"/>
    </w:rPr>
  </w:style>
  <w:style w:type="paragraph" w:styleId="Titre6">
    <w:name w:val="heading 6"/>
    <w:basedOn w:val="Normal"/>
    <w:next w:val="Normal"/>
    <w:link w:val="Titre6Car"/>
    <w:uiPriority w:val="9"/>
    <w:semiHidden/>
    <w:unhideWhenUsed/>
    <w:qFormat/>
    <w:rsid w:val="00B751E6"/>
    <w:pPr>
      <w:keepNext/>
      <w:keepLines/>
      <w:spacing w:before="200"/>
      <w:outlineLvl w:val="5"/>
    </w:pPr>
    <w:rPr>
      <w:rFonts w:asciiTheme="majorHAnsi" w:eastAsiaTheme="majorEastAsia" w:hAnsiTheme="majorHAnsi" w:cstheme="majorBidi"/>
      <w:i/>
      <w:iCs/>
      <w:color w:val="243F60" w:themeColor="accent1" w:themeShade="7F"/>
      <w:szCs w:val="22"/>
      <w:lang w:val="fr-CA" w:eastAsia="en-US" w:bidi="en-US"/>
    </w:rPr>
  </w:style>
  <w:style w:type="paragraph" w:styleId="Titre7">
    <w:name w:val="heading 7"/>
    <w:basedOn w:val="Normal"/>
    <w:next w:val="Normal"/>
    <w:link w:val="Titre7Car"/>
    <w:uiPriority w:val="9"/>
    <w:semiHidden/>
    <w:unhideWhenUsed/>
    <w:qFormat/>
    <w:rsid w:val="00B751E6"/>
    <w:pPr>
      <w:keepNext/>
      <w:keepLines/>
      <w:spacing w:before="200"/>
      <w:outlineLvl w:val="6"/>
    </w:pPr>
    <w:rPr>
      <w:rFonts w:asciiTheme="majorHAnsi" w:eastAsiaTheme="majorEastAsia" w:hAnsiTheme="majorHAnsi" w:cstheme="majorBidi"/>
      <w:i/>
      <w:iCs/>
      <w:color w:val="404040" w:themeColor="text1" w:themeTint="BF"/>
      <w:szCs w:val="22"/>
      <w:lang w:val="fr-CA" w:eastAsia="en-US" w:bidi="en-US"/>
    </w:rPr>
  </w:style>
  <w:style w:type="paragraph" w:styleId="Titre8">
    <w:name w:val="heading 8"/>
    <w:basedOn w:val="Normal"/>
    <w:next w:val="Normal"/>
    <w:link w:val="Titre8Car"/>
    <w:uiPriority w:val="9"/>
    <w:semiHidden/>
    <w:unhideWhenUsed/>
    <w:qFormat/>
    <w:rsid w:val="00B751E6"/>
    <w:pPr>
      <w:keepNext/>
      <w:keepLines/>
      <w:spacing w:before="200"/>
      <w:outlineLvl w:val="7"/>
    </w:pPr>
    <w:rPr>
      <w:rFonts w:asciiTheme="majorHAnsi" w:eastAsiaTheme="majorEastAsia" w:hAnsiTheme="majorHAnsi" w:cstheme="majorBidi"/>
      <w:color w:val="4F81BD" w:themeColor="accent1"/>
      <w:sz w:val="20"/>
      <w:lang w:val="fr-CA" w:eastAsia="en-US" w:bidi="en-US"/>
    </w:rPr>
  </w:style>
  <w:style w:type="paragraph" w:styleId="Titre9">
    <w:name w:val="heading 9"/>
    <w:basedOn w:val="Normal"/>
    <w:next w:val="Normal"/>
    <w:link w:val="Titre9Car"/>
    <w:uiPriority w:val="9"/>
    <w:semiHidden/>
    <w:unhideWhenUsed/>
    <w:qFormat/>
    <w:rsid w:val="00B751E6"/>
    <w:pPr>
      <w:keepNext/>
      <w:keepLines/>
      <w:spacing w:before="200"/>
      <w:outlineLvl w:val="8"/>
    </w:pPr>
    <w:rPr>
      <w:rFonts w:asciiTheme="majorHAnsi" w:eastAsiaTheme="majorEastAsia" w:hAnsiTheme="majorHAnsi" w:cstheme="majorBidi"/>
      <w:i/>
      <w:iCs/>
      <w:color w:val="404040" w:themeColor="text1" w:themeTint="BF"/>
      <w:sz w:val="20"/>
      <w:lang w:val="fr-CA" w:eastAsia="en-US"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semiHidden/>
    <w:rPr>
      <w:rFonts w:asciiTheme="majorHAnsi" w:eastAsiaTheme="majorEastAsia" w:hAnsiTheme="majorHAnsi" w:cstheme="majorBidi"/>
      <w:b/>
      <w:bCs/>
      <w:color w:val="4F81BD" w:themeColor="accent1"/>
      <w:sz w:val="26"/>
      <w:szCs w:val="26"/>
    </w:rPr>
  </w:style>
  <w:style w:type="paragraph" w:customStyle="1" w:styleId="1">
    <w:name w:val="1"/>
    <w:aliases w:val=" 2, 3, A"/>
    <w:basedOn w:val="Normal"/>
    <w:uiPriority w:val="1"/>
    <w:pPr>
      <w:widowControl w:val="0"/>
    </w:pPr>
  </w:style>
  <w:style w:type="paragraph" w:customStyle="1" w:styleId="SCCNormalDoubleSpacing">
    <w:name w:val="SCC.Normal.DoubleSpacing"/>
    <w:basedOn w:val="Normal"/>
    <w:link w:val="SCCNormalDoubleSpacingChar"/>
    <w:pPr>
      <w:tabs>
        <w:tab w:val="left" w:pos="1168"/>
      </w:tabs>
      <w:spacing w:line="480" w:lineRule="auto"/>
      <w:jc w:val="both"/>
    </w:pPr>
  </w:style>
  <w:style w:type="character" w:customStyle="1" w:styleId="SCCNormalDoubleSpacingChar">
    <w:name w:val="SCC.Normal.DoubleSpacing Char"/>
    <w:basedOn w:val="Policepardfaut"/>
    <w:link w:val="SCCNormalDoubleSpacing"/>
    <w:rPr>
      <w:sz w:val="24"/>
    </w:rPr>
  </w:style>
  <w:style w:type="character" w:styleId="lev">
    <w:name w:val="Strong"/>
    <w:basedOn w:val="Policepardfaut"/>
    <w:uiPriority w:val="22"/>
    <w:qFormat/>
    <w:rPr>
      <w:b/>
      <w:bCs/>
    </w:rPr>
  </w:style>
  <w:style w:type="paragraph" w:styleId="Citation">
    <w:name w:val="Quote"/>
    <w:basedOn w:val="Normal"/>
    <w:next w:val="Normal"/>
    <w:link w:val="CitationCar"/>
    <w:uiPriority w:val="29"/>
    <w:qFormat/>
    <w:rPr>
      <w:i/>
      <w:iCs/>
      <w:color w:val="000000" w:themeColor="text1"/>
    </w:rPr>
  </w:style>
  <w:style w:type="character" w:customStyle="1" w:styleId="CitationCar">
    <w:name w:val="Citation Car"/>
    <w:basedOn w:val="Policepardfaut"/>
    <w:link w:val="Citation"/>
    <w:uiPriority w:val="29"/>
    <w:rPr>
      <w:i/>
      <w:iCs/>
      <w:color w:val="000000" w:themeColor="text1"/>
      <w:sz w:val="24"/>
      <w:lang w:val="en-US"/>
    </w:rPr>
  </w:style>
  <w:style w:type="character" w:styleId="Textedelespacerserv">
    <w:name w:val="Placeholder Text"/>
    <w:basedOn w:val="Policepardfaut"/>
    <w:uiPriority w:val="99"/>
    <w:semiHidden/>
    <w:rPr>
      <w:color w:val="808080"/>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lang w:val="en-US"/>
    </w:rPr>
  </w:style>
  <w:style w:type="paragraph" w:styleId="En-tte">
    <w:name w:val="header"/>
    <w:basedOn w:val="Normal"/>
    <w:link w:val="En-tteCar"/>
    <w:uiPriority w:val="99"/>
    <w:unhideWhenUsed/>
    <w:pPr>
      <w:tabs>
        <w:tab w:val="center" w:pos="4680"/>
        <w:tab w:val="right" w:pos="9360"/>
      </w:tabs>
    </w:pPr>
  </w:style>
  <w:style w:type="character" w:customStyle="1" w:styleId="En-tteCar">
    <w:name w:val="En-tête Car"/>
    <w:basedOn w:val="Policepardfaut"/>
    <w:link w:val="En-tte"/>
    <w:uiPriority w:val="99"/>
    <w:rPr>
      <w:sz w:val="24"/>
      <w:lang w:val="en-US"/>
    </w:rPr>
  </w:style>
  <w:style w:type="paragraph" w:styleId="Pieddepage">
    <w:name w:val="footer"/>
    <w:basedOn w:val="Normal"/>
    <w:link w:val="PieddepageCar"/>
    <w:uiPriority w:val="99"/>
    <w:unhideWhenUsed/>
    <w:pPr>
      <w:tabs>
        <w:tab w:val="center" w:pos="4680"/>
        <w:tab w:val="right" w:pos="9360"/>
      </w:tabs>
    </w:pPr>
  </w:style>
  <w:style w:type="character" w:customStyle="1" w:styleId="PieddepageCar">
    <w:name w:val="Pied de page Car"/>
    <w:basedOn w:val="Policepardfaut"/>
    <w:link w:val="Pieddepage"/>
    <w:uiPriority w:val="99"/>
    <w:rPr>
      <w:sz w:val="24"/>
      <w:lang w:val="en-US"/>
    </w:rPr>
  </w:style>
  <w:style w:type="paragraph" w:customStyle="1" w:styleId="SCCLsocParty">
    <w:name w:val="SCC.Lsoc.Party"/>
    <w:basedOn w:val="Normal"/>
    <w:next w:val="Normal"/>
    <w:link w:val="SCCLsocPartyChar"/>
    <w:pPr>
      <w:tabs>
        <w:tab w:val="right" w:pos="8222"/>
      </w:tabs>
      <w:jc w:val="both"/>
    </w:pPr>
    <w:rPr>
      <w:b/>
    </w:rPr>
  </w:style>
  <w:style w:type="character" w:customStyle="1" w:styleId="SCCLsocPartyChar">
    <w:name w:val="SCC.Lsoc.Party Char"/>
    <w:basedOn w:val="Policepardfaut"/>
    <w:link w:val="SCCLsocParty"/>
    <w:rPr>
      <w:b/>
      <w:sz w:val="24"/>
    </w:rPr>
  </w:style>
  <w:style w:type="paragraph" w:customStyle="1" w:styleId="SCCLsocVersus">
    <w:name w:val="SCC.Lsoc.Versus"/>
    <w:basedOn w:val="Normal"/>
    <w:next w:val="Normal"/>
    <w:link w:val="SCCLsocVersusChar"/>
    <w:pPr>
      <w:spacing w:after="720"/>
    </w:pPr>
    <w:rPr>
      <w:i/>
    </w:rPr>
  </w:style>
  <w:style w:type="character" w:customStyle="1" w:styleId="SCCLsocVersusChar">
    <w:name w:val="SCC.Lsoc.Versus Char"/>
    <w:basedOn w:val="Policepardfaut"/>
    <w:link w:val="SCCLsocVersus"/>
    <w:rPr>
      <w:i/>
      <w:sz w:val="24"/>
    </w:rPr>
  </w:style>
  <w:style w:type="character" w:customStyle="1" w:styleId="SCCLsocPartyRole">
    <w:name w:val="SCC.Lsoc.PartyRole"/>
    <w:basedOn w:val="SCCLsocLastPartyInRoleChar"/>
    <w:uiPriority w:val="1"/>
    <w:rPr>
      <w:b/>
      <w:i/>
      <w:sz w:val="24"/>
    </w:rPr>
  </w:style>
  <w:style w:type="paragraph" w:customStyle="1" w:styleId="SCCLsocSubfileSeparator">
    <w:name w:val="SCC.Lsoc.SubfileSeparator"/>
    <w:basedOn w:val="Normal"/>
    <w:next w:val="Normal"/>
    <w:link w:val="SCCLsocSubfileSeparatorChar"/>
    <w:pPr>
      <w:spacing w:after="720"/>
    </w:pPr>
  </w:style>
  <w:style w:type="character" w:customStyle="1" w:styleId="SCCLsocSubfileSeparatorChar">
    <w:name w:val="SCC.Lsoc.SubfileSeparator Char"/>
    <w:basedOn w:val="Policepardfaut"/>
    <w:link w:val="SCCLsocSubfileSeparator"/>
    <w:rPr>
      <w:sz w:val="24"/>
    </w:rPr>
  </w:style>
  <w:style w:type="paragraph" w:customStyle="1" w:styleId="SCCLsocOtherPartySeparator">
    <w:name w:val="SCC.Lsoc.OtherPartySeparator"/>
    <w:basedOn w:val="Normal"/>
    <w:next w:val="Normal"/>
    <w:link w:val="SCCLsocOtherPartySeparatorChar"/>
    <w:pPr>
      <w:spacing w:after="720"/>
    </w:pPr>
  </w:style>
  <w:style w:type="character" w:customStyle="1" w:styleId="SCCLsocOtherPartySeparatorChar">
    <w:name w:val="SCC.Lsoc.OtherPartySeparator Char"/>
    <w:basedOn w:val="Policepardfaut"/>
    <w:link w:val="SCCLsocOtherPartySeparator"/>
    <w:rPr>
      <w:sz w:val="24"/>
    </w:rPr>
  </w:style>
  <w:style w:type="character" w:customStyle="1" w:styleId="Titre1Car">
    <w:name w:val="Titre 1 Car"/>
    <w:basedOn w:val="Policepardfaut"/>
    <w:link w:val="Titre1"/>
    <w:uiPriority w:val="9"/>
    <w:rPr>
      <w:rFonts w:asciiTheme="majorHAnsi" w:eastAsiaTheme="majorEastAsia" w:hAnsiTheme="majorHAnsi" w:cstheme="majorBidi"/>
      <w:b/>
      <w:bCs/>
      <w:color w:val="365F91" w:themeColor="accent1" w:themeShade="BF"/>
      <w:sz w:val="28"/>
      <w:szCs w:val="28"/>
    </w:rPr>
  </w:style>
  <w:style w:type="paragraph" w:customStyle="1" w:styleId="SCCBanSummary">
    <w:name w:val="SCC.BanSummary"/>
    <w:basedOn w:val="Normal"/>
    <w:next w:val="Normal"/>
    <w:link w:val="SCCBanSummaryChar"/>
    <w:pPr>
      <w:jc w:val="right"/>
    </w:pPr>
    <w:rPr>
      <w:b/>
    </w:rPr>
  </w:style>
  <w:style w:type="paragraph" w:customStyle="1" w:styleId="SCCAppellantForRunningHead">
    <w:name w:val="SCC.AppellantForRunningHead"/>
    <w:basedOn w:val="Normal"/>
    <w:next w:val="Normal"/>
    <w:link w:val="SCCAppellantForRunningHeadChar"/>
    <w:rPr>
      <w:smallCaps/>
    </w:rPr>
  </w:style>
  <w:style w:type="character" w:customStyle="1" w:styleId="SCCAppellantForRunningHeadChar">
    <w:name w:val="SCC.AppellantForRunningHead Char"/>
    <w:basedOn w:val="Policepardfaut"/>
    <w:link w:val="SCCAppellantForRunningHead"/>
    <w:rPr>
      <w:smallCaps/>
      <w:sz w:val="24"/>
    </w:rPr>
  </w:style>
  <w:style w:type="paragraph" w:customStyle="1" w:styleId="SCCRespondentForRunningHead">
    <w:name w:val="SCC.RespondentForRunningHead"/>
    <w:basedOn w:val="Normal"/>
    <w:next w:val="Normal"/>
    <w:link w:val="SCCRespondentForRunningHeadChar"/>
    <w:rPr>
      <w:smallCaps/>
    </w:rPr>
  </w:style>
  <w:style w:type="character" w:customStyle="1" w:styleId="SCCRespondentForRunningHeadChar">
    <w:name w:val="SCC.RespondentForRunningHead Char"/>
    <w:basedOn w:val="Policepardfaut"/>
    <w:link w:val="SCCRespondentForRunningHead"/>
    <w:rPr>
      <w:smallCaps/>
      <w:sz w:val="24"/>
    </w:rPr>
  </w:style>
  <w:style w:type="paragraph" w:customStyle="1" w:styleId="SCCAppellantForIndex">
    <w:name w:val="SCC.AppellantForIndex"/>
    <w:basedOn w:val="Normal"/>
    <w:next w:val="Normal"/>
    <w:link w:val="SCCAppellantForIndexChar"/>
    <w:rPr>
      <w:b/>
    </w:rPr>
  </w:style>
  <w:style w:type="character" w:customStyle="1" w:styleId="SCCAppellantForIndexChar">
    <w:name w:val="SCC.AppellantForIndex Char"/>
    <w:basedOn w:val="Policepardfaut"/>
    <w:link w:val="SCCAppellantForIndex"/>
    <w:rPr>
      <w:b/>
      <w:sz w:val="24"/>
    </w:rPr>
  </w:style>
  <w:style w:type="paragraph" w:customStyle="1" w:styleId="SCCRespondentForIndex">
    <w:name w:val="SCC.RespondentForIndex"/>
    <w:basedOn w:val="Normal"/>
    <w:next w:val="Normal"/>
    <w:link w:val="SCCRespondentForIndexChar"/>
    <w:rPr>
      <w:b/>
    </w:rPr>
  </w:style>
  <w:style w:type="character" w:customStyle="1" w:styleId="SCCRespondentForIndexChar">
    <w:name w:val="SCC.RespondentForIndex Char"/>
    <w:basedOn w:val="Policepardfaut"/>
    <w:link w:val="SCCRespondentForIndex"/>
    <w:rPr>
      <w:b/>
      <w:sz w:val="24"/>
    </w:rPr>
  </w:style>
  <w:style w:type="paragraph" w:customStyle="1" w:styleId="SCCSystemYear">
    <w:name w:val="SCC.SystemYear"/>
    <w:basedOn w:val="Normal"/>
    <w:next w:val="Normal"/>
    <w:link w:val="SCCSystemYearChar"/>
    <w:rPr>
      <w:b/>
    </w:rPr>
  </w:style>
  <w:style w:type="character" w:customStyle="1" w:styleId="SCCSystemYearChar">
    <w:name w:val="SCC.SystemYear Char"/>
    <w:basedOn w:val="Policepardfaut"/>
    <w:link w:val="SCCSystemYear"/>
    <w:rPr>
      <w:b/>
      <w:sz w:val="24"/>
    </w:rPr>
  </w:style>
  <w:style w:type="paragraph" w:customStyle="1" w:styleId="SCCLowerCourtNameLowercase">
    <w:name w:val="SCC.LowerCourtNameLowercase"/>
    <w:basedOn w:val="SCCNormalDoubleSpacing"/>
    <w:next w:val="SCCNormalDoubleSpacing"/>
    <w:rPr>
      <w:smallCaps/>
    </w:rPr>
  </w:style>
  <w:style w:type="paragraph" w:customStyle="1" w:styleId="SCCCounselName">
    <w:name w:val="SCC.CounselName"/>
    <w:basedOn w:val="SCCNormalDoubleSpacing"/>
    <w:next w:val="SCCNormalDoubleSpacing"/>
    <w:link w:val="SCCCounselNameChar"/>
    <w:rPr>
      <w:i/>
    </w:rPr>
  </w:style>
  <w:style w:type="character" w:customStyle="1" w:styleId="SCCCounselNameChar">
    <w:name w:val="SCC.CounselName Char"/>
    <w:basedOn w:val="SCCNormalDoubleSpacingChar"/>
    <w:link w:val="SCCCounselName"/>
    <w:rPr>
      <w:i/>
      <w:sz w:val="24"/>
    </w:rPr>
  </w:style>
  <w:style w:type="paragraph" w:customStyle="1" w:styleId="SCCItalic">
    <w:name w:val="SCC.Italic"/>
    <w:basedOn w:val="SCCNormalDoubleSpacing"/>
    <w:next w:val="SCCNormalDoubleSpacing"/>
    <w:rPr>
      <w:i/>
    </w:rPr>
  </w:style>
  <w:style w:type="paragraph" w:customStyle="1" w:styleId="SCCAppellantForCitation">
    <w:name w:val="SCC.AppellantForCitation"/>
    <w:basedOn w:val="Normal"/>
    <w:next w:val="Normal"/>
    <w:link w:val="SCCAppellantForCitationChar"/>
    <w:rPr>
      <w:i/>
    </w:rPr>
  </w:style>
  <w:style w:type="character" w:customStyle="1" w:styleId="SCCAppellantForCitationChar">
    <w:name w:val="SCC.AppellantForCitation Char"/>
    <w:basedOn w:val="Policepardfaut"/>
    <w:link w:val="SCCAppellantForCitation"/>
    <w:rPr>
      <w:i/>
      <w:sz w:val="24"/>
    </w:rPr>
  </w:style>
  <w:style w:type="paragraph" w:customStyle="1" w:styleId="SCCRespondentForCitation">
    <w:name w:val="SCC.RespondentForCitation"/>
    <w:basedOn w:val="Normal"/>
    <w:next w:val="Normal"/>
    <w:link w:val="SCCRespondentForCitationChar"/>
    <w:rPr>
      <w:i/>
    </w:rPr>
  </w:style>
  <w:style w:type="character" w:customStyle="1" w:styleId="SCCRespondentForCitationChar">
    <w:name w:val="SCC.RespondentForCitation Char"/>
    <w:basedOn w:val="Policepardfaut"/>
    <w:link w:val="SCCRespondentForCitation"/>
    <w:rPr>
      <w:i/>
      <w:sz w:val="24"/>
    </w:rPr>
  </w:style>
  <w:style w:type="paragraph" w:customStyle="1" w:styleId="SCCCounselSeparator">
    <w:name w:val="SCC.CounselSeparator"/>
    <w:basedOn w:val="SCCNormalDoubleSpacing"/>
    <w:next w:val="SCCNormalDoubleSpacing"/>
    <w:link w:val="SCCCounselSeparatorChar"/>
  </w:style>
  <w:style w:type="character" w:customStyle="1" w:styleId="SCCCounselSeparatorChar">
    <w:name w:val="SCC.CounselSeparator Char"/>
    <w:basedOn w:val="SCCNormalDoubleSpacingChar"/>
    <w:link w:val="SCCCounselSeparator"/>
    <w:rPr>
      <w:sz w:val="24"/>
    </w:rPr>
  </w:style>
  <w:style w:type="paragraph" w:customStyle="1" w:styleId="SCCPartyRole">
    <w:name w:val="SCC.PartyRole"/>
    <w:basedOn w:val="SCCNormalDoubleSpacing"/>
    <w:next w:val="SCCNormalDoubleSpacing"/>
    <w:link w:val="SCCPartyRoleChar"/>
  </w:style>
  <w:style w:type="character" w:customStyle="1" w:styleId="SCCPartyRoleChar">
    <w:name w:val="SCC.PartyRole Char"/>
    <w:basedOn w:val="SCCNormalDoubleSpacingChar"/>
    <w:link w:val="SCCPartyRole"/>
    <w:rPr>
      <w:sz w:val="24"/>
    </w:rPr>
  </w:style>
  <w:style w:type="paragraph" w:customStyle="1" w:styleId="SCCLawFirm">
    <w:name w:val="SCC.LawFirm"/>
    <w:basedOn w:val="SCCNormalDoubleSpacing"/>
    <w:next w:val="SCCNormalDoubleSpacing"/>
    <w:link w:val="SCCLawFirmChar"/>
    <w:rPr>
      <w:i/>
    </w:rPr>
  </w:style>
  <w:style w:type="character" w:customStyle="1" w:styleId="SCCLawFirmChar">
    <w:name w:val="SCC.LawFirm Char"/>
    <w:basedOn w:val="SCCNormalDoubleSpacingChar"/>
    <w:link w:val="SCCLawFirm"/>
    <w:rPr>
      <w:i/>
      <w:sz w:val="24"/>
    </w:rPr>
  </w:style>
  <w:style w:type="paragraph" w:customStyle="1" w:styleId="SCCCounselPartyRole">
    <w:name w:val="SCC.CounselPartyRole"/>
    <w:basedOn w:val="SCCNormalDoubleSpacing"/>
    <w:next w:val="SCCNormalDoubleSpacing"/>
    <w:link w:val="SCCCounselPartyRoleChar"/>
  </w:style>
  <w:style w:type="character" w:customStyle="1" w:styleId="SCCCounselPartyRoleChar">
    <w:name w:val="SCC.CounselPartyRole Char"/>
    <w:basedOn w:val="SCCNormalDoubleSpacingChar"/>
    <w:link w:val="SCCCounselPartyRole"/>
    <w:rPr>
      <w:sz w:val="24"/>
    </w:rPr>
  </w:style>
  <w:style w:type="paragraph" w:customStyle="1" w:styleId="SCCLsocLastPartyInRole">
    <w:name w:val="SCC.Lsoc.LastPartyInRole"/>
    <w:basedOn w:val="Normal"/>
    <w:next w:val="Normal"/>
    <w:link w:val="SCCLsocLastPartyInRoleChar"/>
    <w:qFormat/>
    <w:pPr>
      <w:tabs>
        <w:tab w:val="right" w:pos="8222"/>
      </w:tabs>
      <w:spacing w:after="720"/>
    </w:pPr>
    <w:rPr>
      <w:b/>
    </w:rPr>
  </w:style>
  <w:style w:type="character" w:customStyle="1" w:styleId="SCCLsocLastPartyInRoleChar">
    <w:name w:val="SCC.Lsoc.LastPartyInRole Char"/>
    <w:basedOn w:val="SCCLsocPartyChar"/>
    <w:link w:val="SCCLsocLastPartyInRole"/>
    <w:rPr>
      <w:b/>
      <w:sz w:val="24"/>
    </w:rPr>
  </w:style>
  <w:style w:type="paragraph" w:customStyle="1" w:styleId="SCCNormalKeyWords">
    <w:name w:val="SCC.Normal.KeyWords"/>
    <w:basedOn w:val="SCCNormalDoubleSpacing"/>
    <w:next w:val="SCCNormalDoubleSpacing"/>
    <w:qFormat/>
    <w:rPr>
      <w:i/>
      <w:lang w:val="fr-CA"/>
    </w:rPr>
  </w:style>
  <w:style w:type="character" w:styleId="Hyperlien">
    <w:name w:val="Hyperlink"/>
    <w:basedOn w:val="Policepardfaut"/>
    <w:uiPriority w:val="99"/>
    <w:unhideWhenUsed/>
    <w:rPr>
      <w:color w:val="660000"/>
      <w:u w:val="none"/>
    </w:rPr>
  </w:style>
  <w:style w:type="character" w:customStyle="1" w:styleId="solexhl">
    <w:name w:val="solexhl"/>
    <w:basedOn w:val="Policepardfaut"/>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unhideWhenUsed/>
    <w:rPr>
      <w:rFonts w:eastAsiaTheme="minorHAnsi" w:cstheme="minorBidi"/>
      <w:sz w:val="20"/>
      <w:szCs w:val="22"/>
      <w:lang w:val="en-US" w:eastAsia="en-US" w:bidi="en-US"/>
    </w:rPr>
  </w:style>
  <w:style w:type="character" w:customStyle="1" w:styleId="CommentaireCar">
    <w:name w:val="Commentaire Car"/>
    <w:basedOn w:val="Policepardfaut"/>
    <w:link w:val="Commentaire"/>
    <w:uiPriority w:val="99"/>
    <w:rPr>
      <w:rFonts w:eastAsiaTheme="minorHAnsi" w:cstheme="minorBidi"/>
      <w:szCs w:val="22"/>
      <w:lang w:val="en-US" w:eastAsia="en-US" w:bidi="en-US"/>
    </w:rPr>
  </w:style>
  <w:style w:type="paragraph" w:styleId="Objetducommentaire">
    <w:name w:val="annotation subject"/>
    <w:basedOn w:val="Commentaire"/>
    <w:next w:val="Commentaire"/>
    <w:link w:val="ObjetducommentaireCar"/>
    <w:uiPriority w:val="99"/>
    <w:semiHidden/>
    <w:unhideWhenUsed/>
    <w:rPr>
      <w:rFonts w:eastAsia="Times New Roman" w:cs="Times New Roman"/>
      <w:b/>
      <w:bCs/>
      <w:szCs w:val="20"/>
      <w:lang w:val="en-CA" w:eastAsia="en-CA" w:bidi="ar-SA"/>
    </w:rPr>
  </w:style>
  <w:style w:type="character" w:customStyle="1" w:styleId="ObjetducommentaireCar">
    <w:name w:val="Objet du commentaire Car"/>
    <w:basedOn w:val="CommentaireCar"/>
    <w:link w:val="Objetducommentaire"/>
    <w:uiPriority w:val="99"/>
    <w:semiHidden/>
    <w:rPr>
      <w:rFonts w:eastAsiaTheme="minorHAnsi" w:cstheme="minorBidi"/>
      <w:b/>
      <w:bCs/>
      <w:szCs w:val="22"/>
      <w:lang w:val="en-US" w:eastAsia="en-US" w:bidi="en-US"/>
    </w:rPr>
  </w:style>
  <w:style w:type="character" w:styleId="Lienvisit">
    <w:name w:val="FollowedHyperlink"/>
    <w:basedOn w:val="Policepardfaut"/>
    <w:uiPriority w:val="99"/>
    <w:semiHidden/>
    <w:unhideWhenUsed/>
    <w:rPr>
      <w:color w:val="800080" w:themeColor="followedHyperlink"/>
      <w:u w:val="single"/>
    </w:rPr>
  </w:style>
  <w:style w:type="paragraph" w:styleId="Rvision">
    <w:name w:val="Revision"/>
    <w:hidden/>
    <w:uiPriority w:val="99"/>
    <w:semiHidden/>
    <w:rPr>
      <w:sz w:val="24"/>
    </w:rPr>
  </w:style>
  <w:style w:type="character" w:customStyle="1" w:styleId="Titre3Car">
    <w:name w:val="Titre 3 Car"/>
    <w:basedOn w:val="Policepardfaut"/>
    <w:link w:val="Titre3"/>
    <w:uiPriority w:val="9"/>
    <w:semiHidden/>
    <w:rsid w:val="00B751E6"/>
    <w:rPr>
      <w:rFonts w:asciiTheme="majorHAnsi" w:eastAsiaTheme="majorEastAsia" w:hAnsiTheme="majorHAnsi" w:cstheme="majorBidi"/>
      <w:b/>
      <w:bCs/>
      <w:color w:val="4F81BD" w:themeColor="accent1"/>
      <w:sz w:val="24"/>
      <w:szCs w:val="22"/>
      <w:lang w:val="fr-CA" w:eastAsia="en-US" w:bidi="en-US"/>
    </w:rPr>
  </w:style>
  <w:style w:type="character" w:customStyle="1" w:styleId="Titre4Car">
    <w:name w:val="Titre 4 Car"/>
    <w:basedOn w:val="Policepardfaut"/>
    <w:link w:val="Titre4"/>
    <w:uiPriority w:val="9"/>
    <w:semiHidden/>
    <w:rsid w:val="00B751E6"/>
    <w:rPr>
      <w:rFonts w:asciiTheme="majorHAnsi" w:eastAsiaTheme="majorEastAsia" w:hAnsiTheme="majorHAnsi" w:cstheme="majorBidi"/>
      <w:b/>
      <w:bCs/>
      <w:i/>
      <w:iCs/>
      <w:color w:val="4F81BD" w:themeColor="accent1"/>
      <w:sz w:val="24"/>
      <w:szCs w:val="22"/>
      <w:lang w:val="fr-CA" w:eastAsia="en-US" w:bidi="en-US"/>
    </w:rPr>
  </w:style>
  <w:style w:type="character" w:customStyle="1" w:styleId="Titre5Car">
    <w:name w:val="Titre 5 Car"/>
    <w:basedOn w:val="Policepardfaut"/>
    <w:link w:val="Titre5"/>
    <w:uiPriority w:val="9"/>
    <w:semiHidden/>
    <w:rsid w:val="00B751E6"/>
    <w:rPr>
      <w:rFonts w:asciiTheme="majorHAnsi" w:eastAsiaTheme="majorEastAsia" w:hAnsiTheme="majorHAnsi" w:cstheme="majorBidi"/>
      <w:color w:val="243F60" w:themeColor="accent1" w:themeShade="7F"/>
      <w:sz w:val="24"/>
      <w:szCs w:val="22"/>
      <w:lang w:val="fr-CA" w:eastAsia="en-US" w:bidi="en-US"/>
    </w:rPr>
  </w:style>
  <w:style w:type="character" w:customStyle="1" w:styleId="Titre6Car">
    <w:name w:val="Titre 6 Car"/>
    <w:basedOn w:val="Policepardfaut"/>
    <w:link w:val="Titre6"/>
    <w:uiPriority w:val="9"/>
    <w:semiHidden/>
    <w:rsid w:val="00B751E6"/>
    <w:rPr>
      <w:rFonts w:asciiTheme="majorHAnsi" w:eastAsiaTheme="majorEastAsia" w:hAnsiTheme="majorHAnsi" w:cstheme="majorBidi"/>
      <w:i/>
      <w:iCs/>
      <w:color w:val="243F60" w:themeColor="accent1" w:themeShade="7F"/>
      <w:sz w:val="24"/>
      <w:szCs w:val="22"/>
      <w:lang w:val="fr-CA" w:eastAsia="en-US" w:bidi="en-US"/>
    </w:rPr>
  </w:style>
  <w:style w:type="character" w:customStyle="1" w:styleId="Titre7Car">
    <w:name w:val="Titre 7 Car"/>
    <w:basedOn w:val="Policepardfaut"/>
    <w:link w:val="Titre7"/>
    <w:uiPriority w:val="9"/>
    <w:semiHidden/>
    <w:rsid w:val="00B751E6"/>
    <w:rPr>
      <w:rFonts w:asciiTheme="majorHAnsi" w:eastAsiaTheme="majorEastAsia" w:hAnsiTheme="majorHAnsi" w:cstheme="majorBidi"/>
      <w:i/>
      <w:iCs/>
      <w:color w:val="404040" w:themeColor="text1" w:themeTint="BF"/>
      <w:sz w:val="24"/>
      <w:szCs w:val="22"/>
      <w:lang w:val="fr-CA" w:eastAsia="en-US" w:bidi="en-US"/>
    </w:rPr>
  </w:style>
  <w:style w:type="character" w:customStyle="1" w:styleId="Titre8Car">
    <w:name w:val="Titre 8 Car"/>
    <w:basedOn w:val="Policepardfaut"/>
    <w:link w:val="Titre8"/>
    <w:uiPriority w:val="9"/>
    <w:semiHidden/>
    <w:rsid w:val="00B751E6"/>
    <w:rPr>
      <w:rFonts w:asciiTheme="majorHAnsi" w:eastAsiaTheme="majorEastAsia" w:hAnsiTheme="majorHAnsi" w:cstheme="majorBidi"/>
      <w:color w:val="4F81BD" w:themeColor="accent1"/>
      <w:lang w:val="fr-CA" w:eastAsia="en-US" w:bidi="en-US"/>
    </w:rPr>
  </w:style>
  <w:style w:type="character" w:customStyle="1" w:styleId="Titre9Car">
    <w:name w:val="Titre 9 Car"/>
    <w:basedOn w:val="Policepardfaut"/>
    <w:link w:val="Titre9"/>
    <w:uiPriority w:val="9"/>
    <w:semiHidden/>
    <w:rsid w:val="00B751E6"/>
    <w:rPr>
      <w:rFonts w:asciiTheme="majorHAnsi" w:eastAsiaTheme="majorEastAsia" w:hAnsiTheme="majorHAnsi" w:cstheme="majorBidi"/>
      <w:i/>
      <w:iCs/>
      <w:color w:val="404040" w:themeColor="text1" w:themeTint="BF"/>
      <w:lang w:val="fr-CA" w:eastAsia="en-US" w:bidi="en-US"/>
    </w:rPr>
  </w:style>
  <w:style w:type="paragraph" w:customStyle="1" w:styleId="SCCLsocOtherPartyRoleSeparator">
    <w:name w:val="SCC.Lsoc.OtherPartyRoleSeparator"/>
    <w:basedOn w:val="Normal"/>
    <w:next w:val="Normal"/>
    <w:link w:val="SCCLsocOtherPartyRoleSeparatorChar"/>
    <w:rsid w:val="00B751E6"/>
    <w:pPr>
      <w:spacing w:after="480"/>
    </w:pPr>
    <w:rPr>
      <w:rFonts w:eastAsiaTheme="minorHAnsi" w:cstheme="minorBidi"/>
      <w:szCs w:val="22"/>
      <w:lang w:val="fr-CA" w:eastAsia="en-US" w:bidi="en-US"/>
    </w:rPr>
  </w:style>
  <w:style w:type="paragraph" w:customStyle="1" w:styleId="SCCCoram">
    <w:name w:val="SCC.Coram"/>
    <w:basedOn w:val="Normal"/>
    <w:next w:val="Normal"/>
    <w:link w:val="SCCCoramChar"/>
    <w:rsid w:val="00B751E6"/>
    <w:pPr>
      <w:pBdr>
        <w:bottom w:val="single" w:sz="4" w:space="1" w:color="auto"/>
      </w:pBdr>
    </w:pPr>
    <w:rPr>
      <w:rFonts w:eastAsiaTheme="minorHAnsi" w:cstheme="minorBidi"/>
      <w:szCs w:val="22"/>
      <w:lang w:val="fr-CA" w:eastAsia="en-US" w:bidi="en-US"/>
    </w:rPr>
  </w:style>
  <w:style w:type="character" w:customStyle="1" w:styleId="SCCCoramChar">
    <w:name w:val="SCC.Coram Char"/>
    <w:basedOn w:val="Policepardfaut"/>
    <w:link w:val="SCCCoram"/>
    <w:rsid w:val="00B751E6"/>
    <w:rPr>
      <w:rFonts w:eastAsiaTheme="minorHAnsi" w:cstheme="minorBidi"/>
      <w:sz w:val="24"/>
      <w:szCs w:val="22"/>
      <w:lang w:val="fr-CA" w:eastAsia="en-US" w:bidi="en-US"/>
    </w:rPr>
  </w:style>
  <w:style w:type="character" w:customStyle="1" w:styleId="SCCLsocOtherPartyRoleSeparatorChar">
    <w:name w:val="SCC.Lsoc.OtherPartyRoleSeparator Char"/>
    <w:basedOn w:val="Policepardfaut"/>
    <w:link w:val="SCCLsocOtherPartyRoleSeparator"/>
    <w:rsid w:val="00B751E6"/>
    <w:rPr>
      <w:rFonts w:eastAsiaTheme="minorHAnsi" w:cstheme="minorBidi"/>
      <w:sz w:val="24"/>
      <w:szCs w:val="22"/>
      <w:lang w:val="fr-CA" w:eastAsia="en-US" w:bidi="en-US"/>
    </w:rPr>
  </w:style>
  <w:style w:type="character" w:customStyle="1" w:styleId="SCCBanSummaryChar">
    <w:name w:val="SCC.BanSummary Char"/>
    <w:basedOn w:val="Policepardfaut"/>
    <w:link w:val="SCCBanSummary"/>
    <w:rsid w:val="00B751E6"/>
    <w:rPr>
      <w:b/>
      <w:sz w:val="24"/>
    </w:rPr>
  </w:style>
  <w:style w:type="table" w:styleId="Grilledutableau">
    <w:name w:val="Table Grid"/>
    <w:basedOn w:val="TableauNormal"/>
    <w:uiPriority w:val="59"/>
    <w:rsid w:val="00B751E6"/>
    <w:rPr>
      <w:sz w:val="24"/>
      <w:lang w:val="fr-C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itation-AltC">
    <w:name w:val="Citation - Alt C"/>
    <w:uiPriority w:val="2"/>
    <w:qFormat/>
    <w:rsid w:val="00B751E6"/>
    <w:pPr>
      <w:spacing w:after="720"/>
      <w:ind w:left="1166"/>
      <w:contextualSpacing/>
      <w:jc w:val="both"/>
    </w:pPr>
    <w:rPr>
      <w:sz w:val="24"/>
      <w:lang w:val="fr-CA"/>
    </w:rPr>
  </w:style>
  <w:style w:type="paragraph" w:customStyle="1" w:styleId="ContinueParaSuitedupar-AltP">
    <w:name w:val="Continue Para. / Suite du par. - Alt P"/>
    <w:next w:val="ParaNoNdepar-AltN"/>
    <w:uiPriority w:val="1"/>
    <w:qFormat/>
    <w:rsid w:val="00B751E6"/>
    <w:pPr>
      <w:spacing w:before="480" w:after="480" w:line="480" w:lineRule="auto"/>
      <w:jc w:val="both"/>
    </w:pPr>
    <w:rPr>
      <w:rFonts w:eastAsiaTheme="minorHAnsi" w:cstheme="minorBidi"/>
      <w:sz w:val="24"/>
      <w:szCs w:val="22"/>
      <w:lang w:val="fr-CA" w:eastAsia="en-US"/>
    </w:rPr>
  </w:style>
  <w:style w:type="paragraph" w:customStyle="1" w:styleId="JudgeJuge">
    <w:name w:val="Judge / Juge"/>
    <w:link w:val="JudgeJugeChar"/>
    <w:uiPriority w:val="3"/>
    <w:rsid w:val="00B751E6"/>
    <w:pPr>
      <w:tabs>
        <w:tab w:val="left" w:pos="1260"/>
      </w:tabs>
      <w:spacing w:after="480" w:line="480" w:lineRule="auto"/>
    </w:pPr>
    <w:rPr>
      <w:smallCaps/>
      <w:sz w:val="24"/>
      <w:lang w:val="fr-CA"/>
    </w:rPr>
  </w:style>
  <w:style w:type="paragraph" w:customStyle="1" w:styleId="ParaNoNdepar-AltN">
    <w:name w:val="Para. No. / Nº de par. - Alt N"/>
    <w:link w:val="ParaNoNdepar-AltNChar"/>
    <w:qFormat/>
    <w:rsid w:val="00B751E6"/>
    <w:pPr>
      <w:numPr>
        <w:numId w:val="1"/>
      </w:numPr>
      <w:spacing w:before="480" w:after="480" w:line="480" w:lineRule="auto"/>
      <w:jc w:val="both"/>
    </w:pPr>
    <w:rPr>
      <w:rFonts w:eastAsiaTheme="minorEastAsia" w:cstheme="minorBidi"/>
      <w:sz w:val="24"/>
      <w:szCs w:val="22"/>
      <w:lang w:val="fr-CA" w:eastAsia="en-US"/>
    </w:rPr>
  </w:style>
  <w:style w:type="paragraph" w:customStyle="1" w:styleId="Title1LevelTitre1Niveau-AltL">
    <w:name w:val="Title 1 Level / Titre 1 Niveau - Alt L"/>
    <w:next w:val="ParaNoNdepar-AltN"/>
    <w:uiPriority w:val="4"/>
    <w:qFormat/>
    <w:rsid w:val="00B751E6"/>
    <w:pPr>
      <w:numPr>
        <w:numId w:val="2"/>
      </w:numPr>
      <w:spacing w:before="480" w:after="720"/>
      <w:outlineLvl w:val="0"/>
    </w:pPr>
    <w:rPr>
      <w:rFonts w:eastAsiaTheme="minorHAnsi" w:cstheme="minorBidi"/>
      <w:sz w:val="24"/>
      <w:szCs w:val="22"/>
      <w:u w:val="single"/>
      <w:lang w:val="fr-CA" w:eastAsia="en-US"/>
    </w:rPr>
  </w:style>
  <w:style w:type="paragraph" w:customStyle="1" w:styleId="Title2LevelTitre2Niveau">
    <w:name w:val="Title 2 Level / Titre 2 Niveau"/>
    <w:basedOn w:val="Title1LevelTitre1Niveau-AltL"/>
    <w:next w:val="ParaNoNdepar-AltN"/>
    <w:uiPriority w:val="4"/>
    <w:qFormat/>
    <w:rsid w:val="00B751E6"/>
    <w:pPr>
      <w:numPr>
        <w:ilvl w:val="1"/>
      </w:numPr>
      <w:outlineLvl w:val="1"/>
    </w:pPr>
    <w:rPr>
      <w:i/>
      <w:u w:val="none"/>
    </w:rPr>
  </w:style>
  <w:style w:type="paragraph" w:customStyle="1" w:styleId="Title3LevelTitre3Niveau">
    <w:name w:val="Title 3 Level / Titre 3 Niveau"/>
    <w:basedOn w:val="Title1LevelTitre1Niveau-AltL"/>
    <w:next w:val="ParaNoNdepar-AltN"/>
    <w:uiPriority w:val="4"/>
    <w:qFormat/>
    <w:rsid w:val="00B751E6"/>
    <w:pPr>
      <w:numPr>
        <w:ilvl w:val="2"/>
      </w:numPr>
      <w:outlineLvl w:val="2"/>
    </w:pPr>
  </w:style>
  <w:style w:type="paragraph" w:customStyle="1" w:styleId="Title4LevelTitre4Niveau">
    <w:name w:val="Title 4 Level / Titre 4 Niveau"/>
    <w:basedOn w:val="Title3LevelTitre3Niveau"/>
    <w:next w:val="ParaNoNdepar-AltN"/>
    <w:uiPriority w:val="4"/>
    <w:qFormat/>
    <w:rsid w:val="00B751E6"/>
    <w:pPr>
      <w:numPr>
        <w:ilvl w:val="3"/>
      </w:numPr>
      <w:tabs>
        <w:tab w:val="num" w:pos="900"/>
      </w:tabs>
      <w:outlineLvl w:val="3"/>
    </w:pPr>
    <w:rPr>
      <w:i/>
      <w:u w:val="none"/>
    </w:rPr>
  </w:style>
  <w:style w:type="paragraph" w:customStyle="1" w:styleId="Title5LevelTitre5Niveau">
    <w:name w:val="Title 5 Level / Titre 5 Niveau"/>
    <w:basedOn w:val="Title1LevelTitre1Niveau-AltL"/>
    <w:next w:val="ParaNoNdepar-AltN"/>
    <w:uiPriority w:val="4"/>
    <w:qFormat/>
    <w:rsid w:val="00B751E6"/>
    <w:pPr>
      <w:numPr>
        <w:ilvl w:val="4"/>
      </w:numPr>
      <w:tabs>
        <w:tab w:val="clear" w:pos="1728"/>
        <w:tab w:val="num" w:pos="1440"/>
      </w:tabs>
      <w:outlineLvl w:val="4"/>
    </w:pPr>
  </w:style>
  <w:style w:type="paragraph" w:styleId="TM1">
    <w:name w:val="toc 1"/>
    <w:basedOn w:val="Normal"/>
    <w:next w:val="Normal"/>
    <w:autoRedefine/>
    <w:uiPriority w:val="39"/>
    <w:unhideWhenUsed/>
    <w:rsid w:val="00204967"/>
    <w:pPr>
      <w:tabs>
        <w:tab w:val="left" w:pos="738"/>
        <w:tab w:val="decimal" w:pos="8208"/>
        <w:tab w:val="right" w:leader="dot" w:pos="8270"/>
      </w:tabs>
      <w:spacing w:before="60" w:after="60"/>
    </w:pPr>
    <w:rPr>
      <w:rFonts w:eastAsiaTheme="minorHAnsi" w:cstheme="minorBidi"/>
      <w:noProof/>
      <w:u w:val="single"/>
      <w:lang w:val="fr-CA" w:eastAsia="en-US" w:bidi="en-US"/>
    </w:rPr>
  </w:style>
  <w:style w:type="paragraph" w:styleId="TM2">
    <w:name w:val="toc 2"/>
    <w:basedOn w:val="Normal"/>
    <w:next w:val="Normal"/>
    <w:autoRedefine/>
    <w:uiPriority w:val="39"/>
    <w:unhideWhenUsed/>
    <w:rsid w:val="00204967"/>
    <w:pPr>
      <w:tabs>
        <w:tab w:val="left" w:pos="720"/>
        <w:tab w:val="decimal" w:pos="8208"/>
        <w:tab w:val="right" w:leader="dot" w:pos="8270"/>
      </w:tabs>
      <w:spacing w:before="60" w:after="60"/>
      <w:ind w:left="738" w:hanging="738"/>
    </w:pPr>
    <w:rPr>
      <w:rFonts w:eastAsiaTheme="minorHAnsi" w:cstheme="minorBidi"/>
      <w:i/>
      <w:szCs w:val="22"/>
      <w:lang w:val="fr-CA" w:eastAsia="en-US" w:bidi="en-US"/>
    </w:rPr>
  </w:style>
  <w:style w:type="paragraph" w:styleId="TM3">
    <w:name w:val="toc 3"/>
    <w:basedOn w:val="Normal"/>
    <w:next w:val="Normal"/>
    <w:autoRedefine/>
    <w:uiPriority w:val="39"/>
    <w:unhideWhenUsed/>
    <w:rsid w:val="00204967"/>
    <w:pPr>
      <w:tabs>
        <w:tab w:val="left" w:pos="1080"/>
        <w:tab w:val="decimal" w:pos="8208"/>
        <w:tab w:val="right" w:leader="dot" w:pos="8270"/>
      </w:tabs>
      <w:spacing w:before="60" w:after="60"/>
      <w:ind w:left="1293" w:hanging="431"/>
    </w:pPr>
    <w:rPr>
      <w:rFonts w:eastAsiaTheme="minorHAnsi" w:cstheme="minorBidi"/>
      <w:noProof/>
      <w:u w:val="single"/>
      <w:lang w:val="fr-CA" w:eastAsia="en-US" w:bidi="en-US"/>
    </w:rPr>
  </w:style>
  <w:style w:type="paragraph" w:styleId="TM4">
    <w:name w:val="toc 4"/>
    <w:basedOn w:val="Normal"/>
    <w:next w:val="Normal"/>
    <w:autoRedefine/>
    <w:uiPriority w:val="39"/>
    <w:unhideWhenUsed/>
    <w:rsid w:val="00B751E6"/>
    <w:pPr>
      <w:tabs>
        <w:tab w:val="left" w:pos="900"/>
        <w:tab w:val="right" w:leader="dot" w:pos="8270"/>
      </w:tabs>
      <w:spacing w:before="120" w:after="120"/>
      <w:ind w:left="900" w:hanging="450"/>
    </w:pPr>
    <w:rPr>
      <w:rFonts w:eastAsiaTheme="minorEastAsia" w:cstheme="minorBidi"/>
      <w:i/>
      <w:noProof/>
      <w:szCs w:val="22"/>
      <w:lang w:val="fr-CA" w:eastAsia="en-US" w:bidi="en-US"/>
    </w:rPr>
  </w:style>
  <w:style w:type="paragraph" w:styleId="TM5">
    <w:name w:val="toc 5"/>
    <w:basedOn w:val="Normal"/>
    <w:next w:val="Normal"/>
    <w:autoRedefine/>
    <w:uiPriority w:val="39"/>
    <w:unhideWhenUsed/>
    <w:rsid w:val="00B751E6"/>
    <w:pPr>
      <w:tabs>
        <w:tab w:val="left" w:pos="1440"/>
        <w:tab w:val="right" w:leader="dot" w:pos="8270"/>
      </w:tabs>
      <w:spacing w:before="120" w:after="120"/>
      <w:ind w:left="1454" w:hanging="547"/>
    </w:pPr>
    <w:rPr>
      <w:rFonts w:eastAsiaTheme="minorHAnsi" w:cstheme="minorBidi"/>
      <w:noProof/>
      <w:u w:val="single"/>
      <w:lang w:val="fr-CA" w:eastAsia="en-US" w:bidi="en-US"/>
    </w:rPr>
  </w:style>
  <w:style w:type="paragraph" w:styleId="TM6">
    <w:name w:val="toc 6"/>
    <w:basedOn w:val="Normal"/>
    <w:next w:val="Normal"/>
    <w:autoRedefine/>
    <w:uiPriority w:val="39"/>
    <w:unhideWhenUsed/>
    <w:rsid w:val="00B751E6"/>
    <w:pPr>
      <w:tabs>
        <w:tab w:val="left" w:pos="2160"/>
        <w:tab w:val="right" w:leader="dot" w:pos="8270"/>
      </w:tabs>
      <w:spacing w:after="100"/>
      <w:ind w:left="1800"/>
    </w:pPr>
    <w:rPr>
      <w:rFonts w:eastAsiaTheme="minorHAnsi" w:cstheme="minorBidi"/>
      <w:noProof/>
      <w:lang w:val="fr-CA" w:eastAsia="en-US" w:bidi="en-US"/>
    </w:rPr>
  </w:style>
  <w:style w:type="table" w:customStyle="1" w:styleId="TableGrid1">
    <w:name w:val="Table Grid1"/>
    <w:basedOn w:val="TableauNormal"/>
    <w:uiPriority w:val="59"/>
    <w:rsid w:val="00B751E6"/>
    <w:rPr>
      <w:sz w:val="24"/>
      <w:lang w:val="fr-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itleTitre-AltT">
    <w:name w:val="Title / Titre - Alt T"/>
    <w:next w:val="ParaNoNdepar-AltN"/>
    <w:uiPriority w:val="3"/>
    <w:qFormat/>
    <w:rsid w:val="00B751E6"/>
    <w:pPr>
      <w:tabs>
        <w:tab w:val="left" w:pos="360"/>
      </w:tabs>
      <w:spacing w:before="480" w:after="720"/>
      <w:ind w:left="360" w:hanging="360"/>
      <w:jc w:val="both"/>
      <w:outlineLvl w:val="0"/>
    </w:pPr>
    <w:rPr>
      <w:rFonts w:eastAsiaTheme="minorHAnsi" w:cstheme="minorBidi"/>
      <w:sz w:val="24"/>
      <w:szCs w:val="22"/>
      <w:lang w:val="fr-CA" w:eastAsia="en-US"/>
    </w:rPr>
  </w:style>
  <w:style w:type="paragraph" w:customStyle="1" w:styleId="Title6LevelTitre6Niveau">
    <w:name w:val="Title 6 Level / Titre 6 Niveau"/>
    <w:basedOn w:val="Title5LevelTitre5Niveau"/>
    <w:next w:val="ParaNoNdepar-AltN"/>
    <w:uiPriority w:val="4"/>
    <w:qFormat/>
    <w:rsid w:val="00B751E6"/>
    <w:pPr>
      <w:numPr>
        <w:ilvl w:val="5"/>
      </w:numPr>
      <w:jc w:val="both"/>
      <w:outlineLvl w:val="5"/>
    </w:pPr>
    <w:rPr>
      <w:i/>
      <w:u w:val="none"/>
    </w:rPr>
  </w:style>
  <w:style w:type="paragraph" w:styleId="Notedebasdepage">
    <w:name w:val="footnote text"/>
    <w:basedOn w:val="Normal"/>
    <w:link w:val="NotedebasdepageCar"/>
    <w:uiPriority w:val="99"/>
    <w:unhideWhenUsed/>
    <w:rsid w:val="00B751E6"/>
    <w:pPr>
      <w:tabs>
        <w:tab w:val="left" w:pos="180"/>
      </w:tabs>
      <w:ind w:left="187" w:hanging="187"/>
      <w:jc w:val="both"/>
    </w:pPr>
    <w:rPr>
      <w:sz w:val="20"/>
      <w:lang w:val="fr-CA"/>
    </w:rPr>
  </w:style>
  <w:style w:type="character" w:customStyle="1" w:styleId="NotedebasdepageCar">
    <w:name w:val="Note de bas de page Car"/>
    <w:basedOn w:val="Policepardfaut"/>
    <w:link w:val="Notedebasdepage"/>
    <w:uiPriority w:val="99"/>
    <w:rsid w:val="00B751E6"/>
    <w:rPr>
      <w:lang w:val="fr-CA"/>
    </w:rPr>
  </w:style>
  <w:style w:type="character" w:styleId="Appelnotedebasdep">
    <w:name w:val="footnote reference"/>
    <w:basedOn w:val="Policepardfaut"/>
    <w:uiPriority w:val="99"/>
    <w:semiHidden/>
    <w:unhideWhenUsed/>
    <w:rsid w:val="00B751E6"/>
    <w:rPr>
      <w:vertAlign w:val="superscript"/>
    </w:rPr>
  </w:style>
  <w:style w:type="paragraph" w:styleId="Paragraphedeliste">
    <w:name w:val="List Paragraph"/>
    <w:basedOn w:val="Normal"/>
    <w:uiPriority w:val="34"/>
    <w:qFormat/>
    <w:rsid w:val="00B751E6"/>
    <w:pPr>
      <w:ind w:left="720"/>
      <w:contextualSpacing/>
    </w:pPr>
    <w:rPr>
      <w:rFonts w:eastAsiaTheme="minorHAnsi" w:cstheme="minorBidi"/>
      <w:szCs w:val="22"/>
      <w:lang w:val="fr-CA" w:eastAsia="en-US" w:bidi="en-US"/>
    </w:rPr>
  </w:style>
  <w:style w:type="paragraph" w:customStyle="1" w:styleId="paragraphe">
    <w:name w:val="paragraphe"/>
    <w:basedOn w:val="Normal"/>
    <w:rsid w:val="00B751E6"/>
    <w:pPr>
      <w:spacing w:before="100" w:beforeAutospacing="1" w:after="100" w:afterAutospacing="1"/>
    </w:pPr>
    <w:rPr>
      <w:rFonts w:eastAsiaTheme="minorHAnsi" w:cstheme="minorBidi"/>
      <w:szCs w:val="22"/>
      <w:lang w:val="fr-CA" w:eastAsia="en-US" w:bidi="en-US"/>
    </w:rPr>
  </w:style>
  <w:style w:type="paragraph" w:customStyle="1" w:styleId="citationenretrait">
    <w:name w:val="citationenretrait"/>
    <w:basedOn w:val="Normal"/>
    <w:rsid w:val="00B751E6"/>
    <w:pPr>
      <w:spacing w:before="100" w:beforeAutospacing="1" w:after="100" w:afterAutospacing="1"/>
    </w:pPr>
    <w:rPr>
      <w:rFonts w:eastAsiaTheme="minorHAnsi" w:cstheme="minorBidi"/>
      <w:szCs w:val="22"/>
      <w:lang w:val="fr-CA" w:eastAsia="en-US" w:bidi="en-US"/>
    </w:rPr>
  </w:style>
  <w:style w:type="character" w:customStyle="1" w:styleId="CommentReference1">
    <w:name w:val="Comment Reference1"/>
    <w:basedOn w:val="Policepardfaut"/>
    <w:uiPriority w:val="99"/>
    <w:semiHidden/>
    <w:unhideWhenUsed/>
    <w:rsid w:val="00B751E6"/>
    <w:rPr>
      <w:sz w:val="16"/>
      <w:szCs w:val="16"/>
    </w:rPr>
  </w:style>
  <w:style w:type="paragraph" w:customStyle="1" w:styleId="CommentText1">
    <w:name w:val="Comment Text1"/>
    <w:basedOn w:val="Normal"/>
    <w:uiPriority w:val="99"/>
    <w:semiHidden/>
    <w:unhideWhenUsed/>
    <w:rsid w:val="00B751E6"/>
    <w:rPr>
      <w:rFonts w:eastAsiaTheme="minorHAnsi" w:cstheme="minorBidi"/>
      <w:sz w:val="20"/>
      <w:lang w:val="fr-CA" w:eastAsia="en-US" w:bidi="en-US"/>
    </w:rPr>
  </w:style>
  <w:style w:type="paragraph" w:customStyle="1" w:styleId="CommentSubject1">
    <w:name w:val="Comment Subject1"/>
    <w:basedOn w:val="CommentText1"/>
    <w:next w:val="CommentText1"/>
    <w:uiPriority w:val="99"/>
    <w:semiHidden/>
    <w:unhideWhenUsed/>
    <w:rsid w:val="00B751E6"/>
    <w:rPr>
      <w:b/>
      <w:bCs/>
    </w:rPr>
  </w:style>
  <w:style w:type="character" w:customStyle="1" w:styleId="CommentReference2">
    <w:name w:val="Comment Reference2"/>
    <w:basedOn w:val="Policepardfaut"/>
    <w:uiPriority w:val="99"/>
    <w:semiHidden/>
    <w:unhideWhenUsed/>
    <w:rsid w:val="00B751E6"/>
    <w:rPr>
      <w:sz w:val="16"/>
      <w:szCs w:val="16"/>
    </w:rPr>
  </w:style>
  <w:style w:type="paragraph" w:customStyle="1" w:styleId="CommentText2">
    <w:name w:val="Comment Text2"/>
    <w:basedOn w:val="Normal"/>
    <w:uiPriority w:val="99"/>
    <w:unhideWhenUsed/>
    <w:rsid w:val="00B751E6"/>
    <w:rPr>
      <w:rFonts w:eastAsiaTheme="minorHAnsi" w:cstheme="minorBidi"/>
      <w:sz w:val="20"/>
      <w:szCs w:val="22"/>
      <w:lang w:val="fr-CA" w:eastAsia="en-US" w:bidi="en-US"/>
    </w:rPr>
  </w:style>
  <w:style w:type="character" w:customStyle="1" w:styleId="CommentTextChar1">
    <w:name w:val="Comment Text Char1"/>
    <w:basedOn w:val="Policepardfaut"/>
    <w:uiPriority w:val="99"/>
    <w:semiHidden/>
    <w:rsid w:val="00B751E6"/>
    <w:rPr>
      <w:sz w:val="20"/>
      <w:szCs w:val="20"/>
    </w:rPr>
  </w:style>
  <w:style w:type="paragraph" w:customStyle="1" w:styleId="CommentSubject2">
    <w:name w:val="Comment Subject2"/>
    <w:basedOn w:val="CommentText2"/>
    <w:next w:val="CommentText2"/>
    <w:uiPriority w:val="99"/>
    <w:semiHidden/>
    <w:unhideWhenUsed/>
    <w:rsid w:val="00B751E6"/>
    <w:rPr>
      <w:b/>
      <w:bCs/>
    </w:rPr>
  </w:style>
  <w:style w:type="character" w:customStyle="1" w:styleId="CommentSubjectChar1">
    <w:name w:val="Comment Subject Char1"/>
    <w:basedOn w:val="CommentTextChar1"/>
    <w:uiPriority w:val="99"/>
    <w:semiHidden/>
    <w:rsid w:val="00B751E6"/>
    <w:rPr>
      <w:b/>
      <w:bCs/>
      <w:sz w:val="20"/>
      <w:szCs w:val="20"/>
    </w:rPr>
  </w:style>
  <w:style w:type="character" w:customStyle="1" w:styleId="JudgeJugeChar">
    <w:name w:val="Judge / Juge Char"/>
    <w:basedOn w:val="Policepardfaut"/>
    <w:link w:val="JudgeJuge"/>
    <w:uiPriority w:val="3"/>
    <w:rsid w:val="00B751E6"/>
    <w:rPr>
      <w:smallCaps/>
      <w:sz w:val="24"/>
      <w:lang w:val="fr-CA"/>
    </w:rPr>
  </w:style>
  <w:style w:type="paragraph" w:styleId="Sansinterligne">
    <w:name w:val="No Spacing"/>
    <w:uiPriority w:val="1"/>
    <w:rsid w:val="00B751E6"/>
    <w:rPr>
      <w:rFonts w:eastAsiaTheme="minorHAnsi" w:cstheme="minorBidi"/>
      <w:sz w:val="24"/>
      <w:szCs w:val="22"/>
      <w:lang w:val="fr-CA" w:eastAsia="en-US" w:bidi="en-US"/>
    </w:rPr>
  </w:style>
  <w:style w:type="paragraph" w:styleId="En-ttedetabledesmatires">
    <w:name w:val="TOC Heading"/>
    <w:basedOn w:val="Titre1"/>
    <w:next w:val="Normal"/>
    <w:uiPriority w:val="39"/>
    <w:semiHidden/>
    <w:unhideWhenUsed/>
    <w:qFormat/>
    <w:rsid w:val="00B751E6"/>
    <w:pPr>
      <w:spacing w:before="480" w:after="0"/>
      <w:ind w:left="0" w:firstLine="0"/>
      <w:outlineLvl w:val="9"/>
    </w:pPr>
    <w:rPr>
      <w:lang w:val="fr-CA" w:eastAsia="en-US" w:bidi="en-US"/>
    </w:rPr>
  </w:style>
  <w:style w:type="paragraph" w:styleId="Lgende">
    <w:name w:val="caption"/>
    <w:basedOn w:val="Normal"/>
    <w:next w:val="Normal"/>
    <w:uiPriority w:val="35"/>
    <w:semiHidden/>
    <w:unhideWhenUsed/>
    <w:qFormat/>
    <w:rsid w:val="00B751E6"/>
    <w:rPr>
      <w:rFonts w:eastAsiaTheme="minorHAnsi" w:cstheme="minorBidi"/>
      <w:b/>
      <w:bCs/>
      <w:color w:val="4F81BD" w:themeColor="accent1"/>
      <w:sz w:val="18"/>
      <w:szCs w:val="18"/>
      <w:lang w:val="fr-CA" w:eastAsia="en-US" w:bidi="en-US"/>
    </w:rPr>
  </w:style>
  <w:style w:type="paragraph" w:styleId="Titre">
    <w:name w:val="Title"/>
    <w:basedOn w:val="Normal"/>
    <w:next w:val="Normal"/>
    <w:link w:val="TitreCar"/>
    <w:uiPriority w:val="10"/>
    <w:rsid w:val="00B751E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fr-CA" w:eastAsia="en-US" w:bidi="en-US"/>
    </w:rPr>
  </w:style>
  <w:style w:type="character" w:customStyle="1" w:styleId="TitreCar">
    <w:name w:val="Titre Car"/>
    <w:basedOn w:val="Policepardfaut"/>
    <w:link w:val="Titre"/>
    <w:uiPriority w:val="10"/>
    <w:rsid w:val="00B751E6"/>
    <w:rPr>
      <w:rFonts w:asciiTheme="majorHAnsi" w:eastAsiaTheme="majorEastAsia" w:hAnsiTheme="majorHAnsi" w:cstheme="majorBidi"/>
      <w:color w:val="17365D" w:themeColor="text2" w:themeShade="BF"/>
      <w:spacing w:val="5"/>
      <w:kern w:val="28"/>
      <w:sz w:val="52"/>
      <w:szCs w:val="52"/>
      <w:lang w:val="fr-CA" w:eastAsia="en-US" w:bidi="en-US"/>
    </w:rPr>
  </w:style>
  <w:style w:type="paragraph" w:styleId="Sous-titre">
    <w:name w:val="Subtitle"/>
    <w:basedOn w:val="Normal"/>
    <w:next w:val="Normal"/>
    <w:link w:val="Sous-titreCar"/>
    <w:uiPriority w:val="11"/>
    <w:rsid w:val="00B751E6"/>
    <w:pPr>
      <w:numPr>
        <w:ilvl w:val="1"/>
      </w:numPr>
    </w:pPr>
    <w:rPr>
      <w:rFonts w:asciiTheme="majorHAnsi" w:eastAsiaTheme="majorEastAsia" w:hAnsiTheme="majorHAnsi" w:cstheme="majorBidi"/>
      <w:i/>
      <w:iCs/>
      <w:color w:val="4F81BD" w:themeColor="accent1"/>
      <w:spacing w:val="15"/>
      <w:szCs w:val="24"/>
      <w:lang w:val="fr-CA" w:eastAsia="en-US" w:bidi="en-US"/>
    </w:rPr>
  </w:style>
  <w:style w:type="character" w:customStyle="1" w:styleId="Sous-titreCar">
    <w:name w:val="Sous-titre Car"/>
    <w:basedOn w:val="Policepardfaut"/>
    <w:link w:val="Sous-titre"/>
    <w:uiPriority w:val="11"/>
    <w:rsid w:val="00B751E6"/>
    <w:rPr>
      <w:rFonts w:asciiTheme="majorHAnsi" w:eastAsiaTheme="majorEastAsia" w:hAnsiTheme="majorHAnsi" w:cstheme="majorBidi"/>
      <w:i/>
      <w:iCs/>
      <w:color w:val="4F81BD" w:themeColor="accent1"/>
      <w:spacing w:val="15"/>
      <w:sz w:val="24"/>
      <w:szCs w:val="24"/>
      <w:lang w:val="fr-CA" w:eastAsia="en-US" w:bidi="en-US"/>
    </w:rPr>
  </w:style>
  <w:style w:type="character" w:styleId="Accentuation">
    <w:name w:val="Emphasis"/>
    <w:basedOn w:val="Policepardfaut"/>
    <w:uiPriority w:val="20"/>
    <w:rsid w:val="00B751E6"/>
    <w:rPr>
      <w:i/>
      <w:iCs/>
    </w:rPr>
  </w:style>
  <w:style w:type="paragraph" w:styleId="Citationintense">
    <w:name w:val="Intense Quote"/>
    <w:basedOn w:val="Normal"/>
    <w:next w:val="Normal"/>
    <w:link w:val="CitationintenseCar"/>
    <w:uiPriority w:val="30"/>
    <w:rsid w:val="00B751E6"/>
    <w:pPr>
      <w:pBdr>
        <w:bottom w:val="single" w:sz="4" w:space="4" w:color="4F81BD" w:themeColor="accent1"/>
      </w:pBdr>
      <w:spacing w:before="200" w:after="280"/>
      <w:ind w:left="936" w:right="936"/>
    </w:pPr>
    <w:rPr>
      <w:rFonts w:eastAsiaTheme="minorHAnsi" w:cstheme="minorBidi"/>
      <w:b/>
      <w:bCs/>
      <w:i/>
      <w:iCs/>
      <w:color w:val="4F81BD" w:themeColor="accent1"/>
      <w:szCs w:val="22"/>
      <w:lang w:val="fr-CA" w:eastAsia="en-US" w:bidi="en-US"/>
    </w:rPr>
  </w:style>
  <w:style w:type="character" w:customStyle="1" w:styleId="CitationintenseCar">
    <w:name w:val="Citation intense Car"/>
    <w:basedOn w:val="Policepardfaut"/>
    <w:link w:val="Citationintense"/>
    <w:uiPriority w:val="30"/>
    <w:rsid w:val="00B751E6"/>
    <w:rPr>
      <w:rFonts w:eastAsiaTheme="minorHAnsi" w:cstheme="minorBidi"/>
      <w:b/>
      <w:bCs/>
      <w:i/>
      <w:iCs/>
      <w:color w:val="4F81BD" w:themeColor="accent1"/>
      <w:sz w:val="24"/>
      <w:szCs w:val="22"/>
      <w:lang w:val="fr-CA" w:eastAsia="en-US" w:bidi="en-US"/>
    </w:rPr>
  </w:style>
  <w:style w:type="character" w:styleId="Accentuationlgre">
    <w:name w:val="Subtle Emphasis"/>
    <w:basedOn w:val="Policepardfaut"/>
    <w:uiPriority w:val="19"/>
    <w:rsid w:val="00B751E6"/>
    <w:rPr>
      <w:i/>
      <w:iCs/>
      <w:color w:val="808080" w:themeColor="text1" w:themeTint="7F"/>
    </w:rPr>
  </w:style>
  <w:style w:type="character" w:styleId="Accentuationintense">
    <w:name w:val="Intense Emphasis"/>
    <w:basedOn w:val="Policepardfaut"/>
    <w:uiPriority w:val="21"/>
    <w:rsid w:val="00B751E6"/>
    <w:rPr>
      <w:b/>
      <w:bCs/>
      <w:i/>
      <w:iCs/>
      <w:color w:val="4F81BD" w:themeColor="accent1"/>
    </w:rPr>
  </w:style>
  <w:style w:type="character" w:styleId="Rfrencelgre">
    <w:name w:val="Subtle Reference"/>
    <w:basedOn w:val="Policepardfaut"/>
    <w:uiPriority w:val="31"/>
    <w:rsid w:val="00B751E6"/>
    <w:rPr>
      <w:smallCaps/>
      <w:color w:val="C0504D" w:themeColor="accent2"/>
      <w:u w:val="single"/>
    </w:rPr>
  </w:style>
  <w:style w:type="character" w:styleId="Rfrenceintense">
    <w:name w:val="Intense Reference"/>
    <w:basedOn w:val="Policepardfaut"/>
    <w:uiPriority w:val="32"/>
    <w:rsid w:val="00B751E6"/>
    <w:rPr>
      <w:b/>
      <w:bCs/>
      <w:smallCaps/>
      <w:color w:val="C0504D" w:themeColor="accent2"/>
      <w:spacing w:val="5"/>
      <w:u w:val="single"/>
    </w:rPr>
  </w:style>
  <w:style w:type="character" w:styleId="Titredulivre">
    <w:name w:val="Book Title"/>
    <w:basedOn w:val="Policepardfaut"/>
    <w:uiPriority w:val="33"/>
    <w:rsid w:val="00B751E6"/>
    <w:rPr>
      <w:b/>
      <w:bCs/>
      <w:smallCaps/>
      <w:spacing w:val="5"/>
    </w:rPr>
  </w:style>
  <w:style w:type="character" w:customStyle="1" w:styleId="ParaNoNdepar-AltNChar">
    <w:name w:val="Para. No. / Nº de par. - Alt N Char"/>
    <w:basedOn w:val="Policepardfaut"/>
    <w:link w:val="ParaNoNdepar-AltN"/>
    <w:locked/>
    <w:rsid w:val="00B751E6"/>
    <w:rPr>
      <w:rFonts w:eastAsiaTheme="minorEastAsia" w:cstheme="minorBidi"/>
      <w:sz w:val="24"/>
      <w:szCs w:val="22"/>
      <w:lang w:val="fr-CA" w:eastAsia="en-US"/>
    </w:rPr>
  </w:style>
  <w:style w:type="paragraph" w:customStyle="1" w:styleId="marginalnote">
    <w:name w:val="marginalnote"/>
    <w:basedOn w:val="Normal"/>
    <w:rsid w:val="00B751E6"/>
    <w:pPr>
      <w:spacing w:before="100" w:beforeAutospacing="1" w:after="100" w:afterAutospacing="1"/>
    </w:pPr>
    <w:rPr>
      <w:szCs w:val="24"/>
      <w:lang w:val="fr-CA"/>
    </w:rPr>
  </w:style>
  <w:style w:type="paragraph" w:customStyle="1" w:styleId="subsection">
    <w:name w:val="subsection"/>
    <w:basedOn w:val="Normal"/>
    <w:rsid w:val="00B751E6"/>
    <w:pPr>
      <w:spacing w:before="100" w:beforeAutospacing="1" w:after="100" w:afterAutospacing="1"/>
    </w:pPr>
    <w:rPr>
      <w:szCs w:val="24"/>
      <w:lang w:val="fr-CA"/>
    </w:rPr>
  </w:style>
  <w:style w:type="character" w:customStyle="1" w:styleId="sectionlabel">
    <w:name w:val="sectionlabel"/>
    <w:basedOn w:val="Policepardfaut"/>
    <w:rsid w:val="00B751E6"/>
  </w:style>
  <w:style w:type="character" w:customStyle="1" w:styleId="lawlabel">
    <w:name w:val="lawlabel"/>
    <w:basedOn w:val="Policepardfaut"/>
    <w:rsid w:val="00B751E6"/>
  </w:style>
  <w:style w:type="paragraph" w:styleId="NormalWeb">
    <w:name w:val="Normal (Web)"/>
    <w:basedOn w:val="Normal"/>
    <w:uiPriority w:val="99"/>
    <w:semiHidden/>
    <w:unhideWhenUsed/>
    <w:rsid w:val="00B751E6"/>
    <w:pPr>
      <w:spacing w:before="100" w:beforeAutospacing="1" w:after="100" w:afterAutospacing="1"/>
    </w:pPr>
    <w:rPr>
      <w:szCs w:val="24"/>
      <w:lang w:val="fr-CA"/>
    </w:rPr>
  </w:style>
  <w:style w:type="character" w:customStyle="1" w:styleId="normaltextrun">
    <w:name w:val="normaltextrun"/>
    <w:basedOn w:val="Policepardfaut"/>
    <w:rsid w:val="00B751E6"/>
  </w:style>
  <w:style w:type="character" w:customStyle="1" w:styleId="eop">
    <w:name w:val="eop"/>
    <w:basedOn w:val="Policepardfaut"/>
    <w:rsid w:val="00B751E6"/>
  </w:style>
  <w:style w:type="paragraph" w:customStyle="1" w:styleId="CommentText3">
    <w:name w:val="Comment Text3"/>
    <w:basedOn w:val="Normal"/>
    <w:link w:val="CommentTextChar2"/>
    <w:uiPriority w:val="99"/>
    <w:semiHidden/>
    <w:unhideWhenUsed/>
    <w:rsid w:val="00B751E6"/>
    <w:rPr>
      <w:rFonts w:eastAsiaTheme="minorHAnsi" w:cstheme="minorBidi"/>
      <w:sz w:val="20"/>
      <w:lang w:val="fr-CA" w:eastAsia="en-US" w:bidi="en-US"/>
    </w:rPr>
  </w:style>
  <w:style w:type="character" w:customStyle="1" w:styleId="CommentTextChar2">
    <w:name w:val="Comment Text Char2"/>
    <w:basedOn w:val="Policepardfaut"/>
    <w:link w:val="CommentText3"/>
    <w:uiPriority w:val="99"/>
    <w:semiHidden/>
    <w:rsid w:val="00B751E6"/>
    <w:rPr>
      <w:rFonts w:eastAsiaTheme="minorHAnsi" w:cstheme="minorBidi"/>
      <w:lang w:val="fr-CA" w:eastAsia="en-US" w:bidi="en-US"/>
    </w:rPr>
  </w:style>
  <w:style w:type="character" w:customStyle="1" w:styleId="CommentReference3">
    <w:name w:val="Comment Reference3"/>
    <w:basedOn w:val="Policepardfaut"/>
    <w:uiPriority w:val="99"/>
    <w:semiHidden/>
    <w:unhideWhenUsed/>
    <w:rsid w:val="00B751E6"/>
    <w:rPr>
      <w:sz w:val="16"/>
      <w:szCs w:val="16"/>
    </w:rPr>
  </w:style>
  <w:style w:type="paragraph" w:customStyle="1" w:styleId="CommentSubject3">
    <w:name w:val="Comment Subject3"/>
    <w:basedOn w:val="CommentText3"/>
    <w:next w:val="CommentText3"/>
    <w:link w:val="CommentSubjectChar2"/>
    <w:uiPriority w:val="99"/>
    <w:semiHidden/>
    <w:unhideWhenUsed/>
    <w:rsid w:val="00B751E6"/>
    <w:rPr>
      <w:b/>
      <w:bCs/>
    </w:rPr>
  </w:style>
  <w:style w:type="character" w:customStyle="1" w:styleId="CommentSubjectChar2">
    <w:name w:val="Comment Subject Char2"/>
    <w:basedOn w:val="CommentTextChar2"/>
    <w:link w:val="CommentSubject3"/>
    <w:uiPriority w:val="99"/>
    <w:semiHidden/>
    <w:rsid w:val="00B751E6"/>
    <w:rPr>
      <w:rFonts w:eastAsiaTheme="minorHAnsi" w:cstheme="minorBidi"/>
      <w:b/>
      <w:bCs/>
      <w:lang w:val="fr-CA" w:eastAsia="en-US" w:bidi="en-US"/>
    </w:rPr>
  </w:style>
  <w:style w:type="character" w:customStyle="1" w:styleId="CommentTextChar3">
    <w:name w:val="Comment Text Char3"/>
    <w:basedOn w:val="Policepardfaut"/>
    <w:uiPriority w:val="99"/>
    <w:rsid w:val="00B751E6"/>
    <w:rPr>
      <w:rFonts w:eastAsiaTheme="minorHAnsi" w:cstheme="minorBidi"/>
      <w:sz w:val="20"/>
      <w:szCs w:val="20"/>
      <w:lang w:val="fr-CA" w:eastAsia="en-US" w:bidi="en-US"/>
    </w:rPr>
  </w:style>
  <w:style w:type="character" w:customStyle="1" w:styleId="CommentSubjectChar3">
    <w:name w:val="Comment Subject Char3"/>
    <w:basedOn w:val="CommentTextChar3"/>
    <w:uiPriority w:val="99"/>
    <w:semiHidden/>
    <w:rsid w:val="00B751E6"/>
    <w:rPr>
      <w:rFonts w:eastAsiaTheme="minorHAnsi" w:cstheme="minorBidi"/>
      <w:b/>
      <w:bCs/>
      <w:sz w:val="20"/>
      <w:szCs w:val="20"/>
      <w:lang w:val="fr-CA" w:eastAsia="en-US" w:bidi="en-US"/>
    </w:rPr>
  </w:style>
  <w:style w:type="table" w:customStyle="1" w:styleId="TableGrid2">
    <w:name w:val="Table Grid2"/>
    <w:basedOn w:val="TableauNormal"/>
    <w:next w:val="Grilledutableau"/>
    <w:uiPriority w:val="59"/>
    <w:rsid w:val="00F9568F"/>
    <w:rPr>
      <w:rFonts w:eastAsiaTheme="minorHAnsi" w:cstheme="minorBidi"/>
      <w:sz w:val="24"/>
      <w:szCs w:val="24"/>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itoyens.soquij.qc.ca/php/decision.php?ID=7AD7B0804C4D07150866BB5571AB84C7&amp;access_token=eyJ0aW1lc3RhbXAiOjE3Njk2MDU5ODEsInNpZ25hdHVyZSI6IjA1MmZmNmU0MGU4ZTZkN2QyMDU1MjE0NDkxMDljODU4MjIyYTE1ZTM5MDMyODY2YjBkNmZmNWQ0MGU2OTNjZDkiLCJzY29yZSI6MC41LCJ2YWxpZGF0ZWQiOnRydWV9"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153</Pages>
  <Words>38810</Words>
  <Characters>213457</Characters>
  <Application>Microsoft Office Word</Application>
  <DocSecurity>0</DocSecurity>
  <Lines>1778</Lines>
  <Paragraphs>503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251764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Noël, Mélanie</cp:lastModifiedBy>
  <cp:revision>2</cp:revision>
  <dcterms:created xsi:type="dcterms:W3CDTF">2026-11-06T12:18:00Z</dcterms:created>
  <dcterms:modified xsi:type="dcterms:W3CDTF">2026-11-06T14:49:00Z</dcterms:modified>
</cp:coreProperties>
</file>